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[TechSharePro. 00:00:34]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TechSharePro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whizzy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00:01:45]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TechSharePro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[fab 00:03:40]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00:07:45]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[FTSE 00:08:38]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triumvirate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FTSE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00:11:23]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benchmarking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00:11:53]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00:12:04]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fluffy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[KCM 00:13:51]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[numpty 00:14:30]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00:15:08]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[BDF 00:18:14]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MVP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00:18:48]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keynoting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TechSharePro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Smyth: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TechSharePro.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TSP3_-_Paul_Smyth_on_accessibility_leadership (Completed  11/18/19)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18,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"https://www.rev.com/transcript-editor/Edit?token=HKLvXC8esWBRXdBZ2NQJYCHY-oAB8yxQ0rFZYk9WX86OvOU9bR8-sPVpqrqsaHG-1cN94sJbP81ccF4TdORWBP5yY3Q&amp;loadFrom=DocumentHeaderDeepLink"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