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George Rhodes: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23rd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September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George Rhodes: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demonstrate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geographical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demonstrate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hotspots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George Rhodes: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snapshot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August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September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rescue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%.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attempt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yesterday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00:04:17]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441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rescue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7.6%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attempt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669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attempts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487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whatsoever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George Rhodes: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George Rhodes: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browser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obligations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browser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dismissive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browser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George Rhodes: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tailoring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disproportionate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disproportionate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paragraph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WCAG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00:11: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disproportion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disproportionate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disproportionate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tailoring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lexdis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procurement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Barclay's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Alistair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McNaught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Jisc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George Rhodes: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Alistair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substantial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Disproportionate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intermingling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copyright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libraries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metrics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George Rhodes: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George Rhodes (full interview) (Completed  11/17/19)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Nov 18,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"https://www.rev.com/transcript-editor/Edit?token=DeW1jCqNJLQmY8JJPZKI1YGT7DlQI4Kv-F0H04URs0C-hFjygqcR0DTqdZ-UUZpa12CZcjWyg5171RENCCpPC_WKL4k&amp;loadFrom=DocumentHeaderDeepLink"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