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 James: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 James: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knobbly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 James: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 James: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:00:05:34]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 James: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 James: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00:09:07]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 James: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Abi James (full interview) (Completed  11/18/19)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18,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"https://www.rev.com/transcript-editor/Edit?token=xxODx5XqA2paVMIcFQM0c1A404ljp5jk82TkadI6PxGPWyoEuD4Jn0pCyXGnNeN62DDhlHv9P5swvNgzNnYDCIZ9zZk&amp;loadFrom=DocumentHeaderDeepLink"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