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3EF1" w14:textId="77777777" w:rsidR="00552F7F" w:rsidRDefault="00552F7F" w:rsidP="00BB6F15">
      <w:pPr>
        <w:pStyle w:val="Heading1"/>
      </w:pPr>
      <w:r>
        <w:t>A Digital Accessibility Maturity Model</w:t>
      </w:r>
    </w:p>
    <w:p w14:paraId="29707DB1" w14:textId="77777777" w:rsidR="00552F7F" w:rsidRDefault="00552F7F" w:rsidP="00552F7F"/>
    <w:p w14:paraId="5B92B67B" w14:textId="53B83F4B" w:rsidR="00552F7F" w:rsidRPr="00560AC6" w:rsidRDefault="00552F7F" w:rsidP="00552F7F">
      <w:pPr>
        <w:rPr>
          <w:szCs w:val="20"/>
        </w:rPr>
      </w:pPr>
      <w:r w:rsidRPr="00560AC6">
        <w:rPr>
          <w:szCs w:val="20"/>
        </w:rPr>
        <w:t xml:space="preserve">All public sector organisations have a legal obligation to meet a base level of accessibility. Getting it right </w:t>
      </w:r>
      <w:r w:rsidR="00ED1FB9" w:rsidRPr="00560AC6">
        <w:rPr>
          <w:szCs w:val="20"/>
        </w:rPr>
        <w:t xml:space="preserve">has </w:t>
      </w:r>
      <w:r w:rsidRPr="00560AC6">
        <w:rPr>
          <w:szCs w:val="20"/>
        </w:rPr>
        <w:t xml:space="preserve">costs </w:t>
      </w:r>
      <w:r w:rsidR="00556E5B" w:rsidRPr="00560AC6">
        <w:rPr>
          <w:szCs w:val="20"/>
        </w:rPr>
        <w:t>(</w:t>
      </w:r>
      <w:r w:rsidRPr="00560AC6">
        <w:rPr>
          <w:szCs w:val="20"/>
        </w:rPr>
        <w:t>training, remediation, alternative procurement</w:t>
      </w:r>
      <w:r w:rsidR="00556E5B" w:rsidRPr="00560AC6">
        <w:rPr>
          <w:szCs w:val="20"/>
        </w:rPr>
        <w:t>) but g</w:t>
      </w:r>
      <w:r w:rsidRPr="00560AC6">
        <w:rPr>
          <w:szCs w:val="20"/>
        </w:rPr>
        <w:t xml:space="preserve">etting it wrong </w:t>
      </w:r>
      <w:r w:rsidR="00ED1FB9" w:rsidRPr="00560AC6">
        <w:rPr>
          <w:szCs w:val="20"/>
        </w:rPr>
        <w:t xml:space="preserve">is worse </w:t>
      </w:r>
      <w:r w:rsidRPr="00560AC6">
        <w:rPr>
          <w:szCs w:val="20"/>
        </w:rPr>
        <w:t xml:space="preserve">in terms of inefficiencies, avoidable support costs and litigation </w:t>
      </w:r>
      <w:r w:rsidR="00556E5B" w:rsidRPr="00560AC6">
        <w:rPr>
          <w:szCs w:val="20"/>
        </w:rPr>
        <w:t xml:space="preserve">or </w:t>
      </w:r>
      <w:r w:rsidRPr="00560AC6">
        <w:rPr>
          <w:szCs w:val="20"/>
        </w:rPr>
        <w:t>reputational damage.</w:t>
      </w:r>
    </w:p>
    <w:p w14:paraId="5E60F8A9" w14:textId="77777777" w:rsidR="00DA564F" w:rsidRPr="00560AC6" w:rsidRDefault="00DA564F" w:rsidP="00552F7F">
      <w:pPr>
        <w:rPr>
          <w:szCs w:val="20"/>
        </w:rPr>
      </w:pPr>
    </w:p>
    <w:p w14:paraId="1DF30F5E" w14:textId="2BBC5E63" w:rsidR="00552F7F" w:rsidRPr="00560AC6" w:rsidRDefault="00E96AEE" w:rsidP="00552F7F">
      <w:pPr>
        <w:rPr>
          <w:szCs w:val="20"/>
        </w:rPr>
      </w:pPr>
      <w:r w:rsidRPr="00560AC6">
        <w:rPr>
          <w:szCs w:val="20"/>
        </w:rPr>
        <w:t>W</w:t>
      </w:r>
      <w:r w:rsidR="00552F7F" w:rsidRPr="00560AC6">
        <w:rPr>
          <w:szCs w:val="20"/>
        </w:rPr>
        <w:t xml:space="preserve">here are </w:t>
      </w:r>
      <w:r w:rsidR="00ED1FB9" w:rsidRPr="00560AC6">
        <w:rPr>
          <w:b/>
          <w:bCs/>
          <w:i/>
          <w:iCs/>
          <w:szCs w:val="20"/>
        </w:rPr>
        <w:t>you</w:t>
      </w:r>
      <w:r w:rsidR="00ED1FB9" w:rsidRPr="00560AC6">
        <w:rPr>
          <w:szCs w:val="20"/>
        </w:rPr>
        <w:t xml:space="preserve"> </w:t>
      </w:r>
      <w:r w:rsidR="00552F7F" w:rsidRPr="00560AC6">
        <w:rPr>
          <w:szCs w:val="20"/>
        </w:rPr>
        <w:t xml:space="preserve">on the spectrum between </w:t>
      </w:r>
      <w:r w:rsidR="00007AA5" w:rsidRPr="00560AC6">
        <w:rPr>
          <w:szCs w:val="20"/>
        </w:rPr>
        <w:t xml:space="preserve">outmoded </w:t>
      </w:r>
      <w:r w:rsidR="00552F7F" w:rsidRPr="00560AC6">
        <w:rPr>
          <w:szCs w:val="20"/>
        </w:rPr>
        <w:t>practice, minimal compliance or leading</w:t>
      </w:r>
      <w:r w:rsidR="001A0026" w:rsidRPr="00560AC6">
        <w:rPr>
          <w:szCs w:val="20"/>
        </w:rPr>
        <w:t>-</w:t>
      </w:r>
      <w:r w:rsidR="00552F7F" w:rsidRPr="00560AC6">
        <w:rPr>
          <w:szCs w:val="20"/>
        </w:rPr>
        <w:t xml:space="preserve">edge </w:t>
      </w:r>
      <w:r w:rsidR="00007AA5" w:rsidRPr="00560AC6">
        <w:rPr>
          <w:szCs w:val="20"/>
        </w:rPr>
        <w:t>excellence</w:t>
      </w:r>
      <w:r w:rsidR="00552F7F" w:rsidRPr="00560AC6">
        <w:rPr>
          <w:szCs w:val="20"/>
        </w:rPr>
        <w:t xml:space="preserve">? The model below </w:t>
      </w:r>
      <w:r w:rsidR="00ED1FB9" w:rsidRPr="00560AC6">
        <w:rPr>
          <w:szCs w:val="20"/>
        </w:rPr>
        <w:t xml:space="preserve">helps you </w:t>
      </w:r>
      <w:r w:rsidR="00CC10EF" w:rsidRPr="00560AC6">
        <w:rPr>
          <w:szCs w:val="20"/>
        </w:rPr>
        <w:t xml:space="preserve">judge the maturity of your </w:t>
      </w:r>
      <w:r w:rsidR="00DA564F" w:rsidRPr="00560AC6">
        <w:rPr>
          <w:szCs w:val="20"/>
        </w:rPr>
        <w:t xml:space="preserve">organisation’s </w:t>
      </w:r>
      <w:r w:rsidR="00CC10EF" w:rsidRPr="00560AC6">
        <w:rPr>
          <w:szCs w:val="20"/>
        </w:rPr>
        <w:t>digital accessibility.</w:t>
      </w:r>
    </w:p>
    <w:p w14:paraId="10A146D1" w14:textId="77777777" w:rsidR="00CC10EF" w:rsidRDefault="00CC10EF" w:rsidP="00552F7F"/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410"/>
        <w:gridCol w:w="1470"/>
        <w:gridCol w:w="1523"/>
        <w:gridCol w:w="1897"/>
        <w:gridCol w:w="2083"/>
      </w:tblGrid>
      <w:tr w:rsidR="00CC10EF" w14:paraId="493923E4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16268636" w14:textId="77777777" w:rsidR="00CC10EF" w:rsidRDefault="00CC10EF" w:rsidP="006B2472">
            <w:r>
              <w:t>Stage</w:t>
            </w:r>
          </w:p>
        </w:tc>
        <w:tc>
          <w:tcPr>
            <w:tcW w:w="1410" w:type="dxa"/>
            <w:shd w:val="clear" w:color="auto" w:fill="auto"/>
          </w:tcPr>
          <w:p w14:paraId="5EF787A1" w14:textId="77777777" w:rsidR="00CC10EF" w:rsidRDefault="00CC10EF" w:rsidP="006B2472">
            <w:r>
              <w:t>Luck</w:t>
            </w:r>
          </w:p>
        </w:tc>
        <w:tc>
          <w:tcPr>
            <w:tcW w:w="1470" w:type="dxa"/>
            <w:shd w:val="clear" w:color="auto" w:fill="auto"/>
          </w:tcPr>
          <w:p w14:paraId="591B064D" w14:textId="77777777" w:rsidR="00CC10EF" w:rsidRDefault="00CC10EF" w:rsidP="006B2472">
            <w:r>
              <w:t>Tokenism</w:t>
            </w:r>
          </w:p>
        </w:tc>
        <w:tc>
          <w:tcPr>
            <w:tcW w:w="1523" w:type="dxa"/>
            <w:shd w:val="clear" w:color="auto" w:fill="auto"/>
          </w:tcPr>
          <w:p w14:paraId="7CCD9781" w14:textId="77777777" w:rsidR="00CC10EF" w:rsidRDefault="00CC10EF" w:rsidP="006B2472">
            <w:r>
              <w:t>Standards</w:t>
            </w:r>
          </w:p>
        </w:tc>
        <w:tc>
          <w:tcPr>
            <w:tcW w:w="1897" w:type="dxa"/>
            <w:shd w:val="clear" w:color="auto" w:fill="auto"/>
          </w:tcPr>
          <w:p w14:paraId="763A2067" w14:textId="77777777" w:rsidR="00CC10EF" w:rsidRDefault="00CC10EF" w:rsidP="006B2472">
            <w:r>
              <w:t>Ownership</w:t>
            </w:r>
          </w:p>
        </w:tc>
        <w:tc>
          <w:tcPr>
            <w:tcW w:w="2083" w:type="dxa"/>
            <w:shd w:val="clear" w:color="auto" w:fill="auto"/>
          </w:tcPr>
          <w:p w14:paraId="2EFA0907" w14:textId="77777777" w:rsidR="00CC10EF" w:rsidRDefault="00CC10EF" w:rsidP="006B2472">
            <w:r>
              <w:t>Partnership</w:t>
            </w:r>
          </w:p>
        </w:tc>
      </w:tr>
      <w:tr w:rsidR="00CC10EF" w14:paraId="7F2AD806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3022AD35" w14:textId="77777777" w:rsidR="00CC10EF" w:rsidRPr="00FB7EE6" w:rsidRDefault="00CC10EF" w:rsidP="006B2472">
            <w:pPr>
              <w:rPr>
                <w:b/>
                <w:bCs/>
                <w:szCs w:val="22"/>
              </w:rPr>
            </w:pPr>
            <w:r w:rsidRPr="00FB7EE6">
              <w:rPr>
                <w:b/>
                <w:bCs/>
                <w:szCs w:val="22"/>
              </w:rPr>
              <w:t>Typical quote</w:t>
            </w:r>
          </w:p>
        </w:tc>
        <w:tc>
          <w:tcPr>
            <w:tcW w:w="1410" w:type="dxa"/>
            <w:shd w:val="clear" w:color="auto" w:fill="auto"/>
          </w:tcPr>
          <w:p w14:paraId="3D5B99C1" w14:textId="77777777" w:rsidR="00CC10EF" w:rsidRPr="000A5C1C" w:rsidRDefault="00CC10EF" w:rsidP="006B2472">
            <w:pPr>
              <w:rPr>
                <w:i/>
                <w:iCs/>
                <w:szCs w:val="22"/>
              </w:rPr>
            </w:pPr>
            <w:r w:rsidRPr="000A5C1C">
              <w:rPr>
                <w:i/>
                <w:iCs/>
                <w:szCs w:val="22"/>
              </w:rPr>
              <w:t>“With luck we won’t have any disabled learners”</w:t>
            </w:r>
          </w:p>
        </w:tc>
        <w:tc>
          <w:tcPr>
            <w:tcW w:w="1470" w:type="dxa"/>
            <w:shd w:val="clear" w:color="auto" w:fill="auto"/>
          </w:tcPr>
          <w:p w14:paraId="7E26503C" w14:textId="77777777" w:rsidR="00CC10EF" w:rsidRPr="000A5C1C" w:rsidRDefault="00007AA5" w:rsidP="006B2472">
            <w:pPr>
              <w:rPr>
                <w:i/>
                <w:iCs/>
                <w:szCs w:val="22"/>
              </w:rPr>
            </w:pPr>
            <w:r w:rsidRPr="000A5C1C">
              <w:rPr>
                <w:i/>
                <w:iCs/>
                <w:szCs w:val="22"/>
              </w:rPr>
              <w:t xml:space="preserve">“We’ll help you get DSA funding” </w:t>
            </w:r>
          </w:p>
        </w:tc>
        <w:tc>
          <w:tcPr>
            <w:tcW w:w="1523" w:type="dxa"/>
            <w:shd w:val="clear" w:color="auto" w:fill="auto"/>
          </w:tcPr>
          <w:p w14:paraId="1EE106CF" w14:textId="77777777" w:rsidR="00CC10EF" w:rsidRPr="000A5C1C" w:rsidRDefault="00CC10EF" w:rsidP="006B2472">
            <w:pPr>
              <w:rPr>
                <w:i/>
                <w:iCs/>
                <w:szCs w:val="22"/>
              </w:rPr>
            </w:pPr>
            <w:r w:rsidRPr="000A5C1C">
              <w:rPr>
                <w:i/>
                <w:iCs/>
                <w:szCs w:val="22"/>
              </w:rPr>
              <w:t>“All our systems meet WCAG 2.1 AA”</w:t>
            </w:r>
          </w:p>
        </w:tc>
        <w:tc>
          <w:tcPr>
            <w:tcW w:w="1897" w:type="dxa"/>
            <w:shd w:val="clear" w:color="auto" w:fill="auto"/>
          </w:tcPr>
          <w:p w14:paraId="39CEF42A" w14:textId="77777777" w:rsidR="00CC10EF" w:rsidRPr="000A5C1C" w:rsidRDefault="00CC10EF" w:rsidP="006B2472">
            <w:pPr>
              <w:rPr>
                <w:i/>
                <w:iCs/>
                <w:szCs w:val="22"/>
              </w:rPr>
            </w:pPr>
            <w:r w:rsidRPr="000A5C1C">
              <w:rPr>
                <w:i/>
                <w:iCs/>
                <w:szCs w:val="22"/>
              </w:rPr>
              <w:t>“We train staff to use digital tools and resources to maximise learner independence”</w:t>
            </w:r>
          </w:p>
        </w:tc>
        <w:tc>
          <w:tcPr>
            <w:tcW w:w="2083" w:type="dxa"/>
            <w:shd w:val="clear" w:color="auto" w:fill="auto"/>
          </w:tcPr>
          <w:p w14:paraId="5379B53D" w14:textId="091C4CA5" w:rsidR="00CC10EF" w:rsidRPr="000A5C1C" w:rsidRDefault="00CC10EF" w:rsidP="006B2472">
            <w:pPr>
              <w:rPr>
                <w:i/>
                <w:iCs/>
                <w:szCs w:val="22"/>
              </w:rPr>
            </w:pPr>
            <w:r w:rsidRPr="000A5C1C">
              <w:rPr>
                <w:i/>
                <w:iCs/>
                <w:szCs w:val="22"/>
              </w:rPr>
              <w:t>“</w:t>
            </w:r>
            <w:r w:rsidR="00017ABA">
              <w:rPr>
                <w:i/>
                <w:iCs/>
                <w:szCs w:val="22"/>
              </w:rPr>
              <w:t>D</w:t>
            </w:r>
            <w:r w:rsidR="00CA7AEB" w:rsidRPr="000A5C1C">
              <w:rPr>
                <w:i/>
                <w:iCs/>
                <w:szCs w:val="22"/>
              </w:rPr>
              <w:t xml:space="preserve">isabled students </w:t>
            </w:r>
            <w:r w:rsidR="00007AA5" w:rsidRPr="000A5C1C">
              <w:rPr>
                <w:i/>
                <w:iCs/>
                <w:szCs w:val="22"/>
              </w:rPr>
              <w:t>co-</w:t>
            </w:r>
            <w:r w:rsidR="00CA7AEB" w:rsidRPr="000A5C1C">
              <w:rPr>
                <w:i/>
                <w:iCs/>
                <w:szCs w:val="22"/>
              </w:rPr>
              <w:t xml:space="preserve">design courses </w:t>
            </w:r>
            <w:r w:rsidR="00007AA5" w:rsidRPr="000A5C1C">
              <w:rPr>
                <w:i/>
                <w:iCs/>
                <w:szCs w:val="22"/>
              </w:rPr>
              <w:t xml:space="preserve">&amp; </w:t>
            </w:r>
            <w:r w:rsidR="00CA7AEB" w:rsidRPr="000A5C1C">
              <w:rPr>
                <w:i/>
                <w:iCs/>
                <w:szCs w:val="22"/>
              </w:rPr>
              <w:t>assessment approaches.”</w:t>
            </w:r>
          </w:p>
        </w:tc>
      </w:tr>
      <w:tr w:rsidR="000A5C1C" w14:paraId="561CDE9D" w14:textId="77777777" w:rsidTr="00895E42">
        <w:trPr>
          <w:tblHeader/>
        </w:trPr>
        <w:tc>
          <w:tcPr>
            <w:tcW w:w="10033" w:type="dxa"/>
            <w:gridSpan w:val="6"/>
            <w:shd w:val="clear" w:color="auto" w:fill="E7E6E6"/>
          </w:tcPr>
          <w:p w14:paraId="224542B5" w14:textId="77777777" w:rsidR="000A5C1C" w:rsidRPr="000A5C1C" w:rsidRDefault="000A5C1C" w:rsidP="00FB7EE6">
            <w:pPr>
              <w:pStyle w:val="Heading2"/>
            </w:pPr>
            <w:r>
              <w:t>What does it look and feel like?</w:t>
            </w:r>
          </w:p>
        </w:tc>
      </w:tr>
      <w:tr w:rsidR="00007AA5" w14:paraId="529D584C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2C95041A" w14:textId="77777777" w:rsidR="00CC10EF" w:rsidRPr="000A5C1C" w:rsidRDefault="00773048" w:rsidP="006B2472">
            <w:pPr>
              <w:rPr>
                <w:b/>
                <w:bCs/>
                <w:szCs w:val="22"/>
              </w:rPr>
            </w:pPr>
            <w:r w:rsidRPr="000A5C1C">
              <w:rPr>
                <w:b/>
                <w:bCs/>
                <w:szCs w:val="22"/>
              </w:rPr>
              <w:t>What is the main driver</w:t>
            </w:r>
            <w:r w:rsidR="00CC10EF" w:rsidRPr="000A5C1C">
              <w:rPr>
                <w:b/>
                <w:bCs/>
                <w:szCs w:val="22"/>
              </w:rPr>
              <w:t>?</w:t>
            </w:r>
          </w:p>
        </w:tc>
        <w:tc>
          <w:tcPr>
            <w:tcW w:w="1410" w:type="dxa"/>
            <w:shd w:val="clear" w:color="auto" w:fill="auto"/>
          </w:tcPr>
          <w:p w14:paraId="6BCB35D4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Minimal effort / expense</w:t>
            </w:r>
          </w:p>
        </w:tc>
        <w:tc>
          <w:tcPr>
            <w:tcW w:w="1470" w:type="dxa"/>
            <w:shd w:val="clear" w:color="auto" w:fill="auto"/>
          </w:tcPr>
          <w:p w14:paraId="6DDD04CB" w14:textId="77777777" w:rsidR="00CC10EF" w:rsidRPr="000A5C1C" w:rsidRDefault="001A0026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Support for individuals</w:t>
            </w:r>
          </w:p>
        </w:tc>
        <w:tc>
          <w:tcPr>
            <w:tcW w:w="1523" w:type="dxa"/>
            <w:shd w:val="clear" w:color="auto" w:fill="auto"/>
          </w:tcPr>
          <w:p w14:paraId="530DC679" w14:textId="77777777" w:rsidR="00CC10EF" w:rsidRPr="000A5C1C" w:rsidRDefault="001A0026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Legal c</w:t>
            </w:r>
            <w:r w:rsidR="00CC10EF" w:rsidRPr="000A5C1C">
              <w:rPr>
                <w:szCs w:val="22"/>
              </w:rPr>
              <w:t>ompliance</w:t>
            </w:r>
          </w:p>
        </w:tc>
        <w:tc>
          <w:tcPr>
            <w:tcW w:w="1897" w:type="dxa"/>
            <w:shd w:val="clear" w:color="auto" w:fill="auto"/>
          </w:tcPr>
          <w:p w14:paraId="5283EAFE" w14:textId="77777777" w:rsidR="00CC10EF" w:rsidRPr="000A5C1C" w:rsidRDefault="001A0026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Pedagogical excellence</w:t>
            </w:r>
          </w:p>
        </w:tc>
        <w:tc>
          <w:tcPr>
            <w:tcW w:w="2083" w:type="dxa"/>
            <w:shd w:val="clear" w:color="auto" w:fill="auto"/>
          </w:tcPr>
          <w:p w14:paraId="29DB06B7" w14:textId="77777777" w:rsidR="00CC10EF" w:rsidRPr="000A5C1C" w:rsidRDefault="001A0026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Inclusive excellence</w:t>
            </w:r>
          </w:p>
        </w:tc>
      </w:tr>
      <w:tr w:rsidR="00007AA5" w14:paraId="607A3C42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79512FD3" w14:textId="77777777" w:rsidR="00CC10EF" w:rsidRPr="000A5C1C" w:rsidRDefault="00773048" w:rsidP="006B2472">
            <w:pPr>
              <w:rPr>
                <w:b/>
                <w:bCs/>
                <w:szCs w:val="22"/>
              </w:rPr>
            </w:pPr>
            <w:r w:rsidRPr="000A5C1C">
              <w:rPr>
                <w:b/>
                <w:bCs/>
                <w:szCs w:val="22"/>
              </w:rPr>
              <w:t>Who is responsible</w:t>
            </w:r>
            <w:r w:rsidR="00CC10EF" w:rsidRPr="000A5C1C">
              <w:rPr>
                <w:b/>
                <w:bCs/>
                <w:szCs w:val="22"/>
              </w:rPr>
              <w:t>?</w:t>
            </w:r>
          </w:p>
        </w:tc>
        <w:tc>
          <w:tcPr>
            <w:tcW w:w="1410" w:type="dxa"/>
            <w:shd w:val="clear" w:color="auto" w:fill="auto"/>
          </w:tcPr>
          <w:p w14:paraId="3AA4B826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No</w:t>
            </w:r>
            <w:r w:rsidR="00773048" w:rsidRPr="000A5C1C">
              <w:rPr>
                <w:szCs w:val="22"/>
              </w:rPr>
              <w:t>-</w:t>
            </w:r>
            <w:r w:rsidRPr="000A5C1C">
              <w:rPr>
                <w:szCs w:val="22"/>
              </w:rPr>
              <w:t>one</w:t>
            </w:r>
            <w:r w:rsidR="000A5C1C">
              <w:rPr>
                <w:szCs w:val="22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5C396571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Disability team</w:t>
            </w:r>
            <w:r w:rsidR="000A5C1C">
              <w:rPr>
                <w:szCs w:val="22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14:paraId="20F57F83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Web teams</w:t>
            </w:r>
            <w:r w:rsidR="000A5C1C">
              <w:rPr>
                <w:szCs w:val="22"/>
              </w:rPr>
              <w:t>.</w:t>
            </w:r>
          </w:p>
        </w:tc>
        <w:tc>
          <w:tcPr>
            <w:tcW w:w="1897" w:type="dxa"/>
            <w:shd w:val="clear" w:color="auto" w:fill="auto"/>
          </w:tcPr>
          <w:p w14:paraId="052987CE" w14:textId="77777777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>Whole o</w:t>
            </w:r>
            <w:r w:rsidR="00CC10EF" w:rsidRPr="000A5C1C">
              <w:rPr>
                <w:szCs w:val="22"/>
              </w:rPr>
              <w:t>rganisation</w:t>
            </w:r>
            <w:r>
              <w:rPr>
                <w:szCs w:val="22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14:paraId="254B9AB1" w14:textId="77777777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>Organisation &amp; stakeholders.</w:t>
            </w:r>
          </w:p>
        </w:tc>
      </w:tr>
      <w:tr w:rsidR="00007AA5" w14:paraId="3B70C8D0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4C66A683" w14:textId="77777777" w:rsidR="00CC10EF" w:rsidRPr="000A5C1C" w:rsidRDefault="00773048" w:rsidP="006B2472">
            <w:pPr>
              <w:rPr>
                <w:b/>
                <w:bCs/>
                <w:szCs w:val="22"/>
              </w:rPr>
            </w:pPr>
            <w:r w:rsidRPr="000A5C1C">
              <w:rPr>
                <w:b/>
                <w:bCs/>
                <w:szCs w:val="22"/>
              </w:rPr>
              <w:t>Which model of disability is in play?</w:t>
            </w:r>
          </w:p>
        </w:tc>
        <w:tc>
          <w:tcPr>
            <w:tcW w:w="1410" w:type="dxa"/>
            <w:shd w:val="clear" w:color="auto" w:fill="auto"/>
          </w:tcPr>
          <w:p w14:paraId="190ED712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Invisibility</w:t>
            </w:r>
            <w:r w:rsidR="000A5C1C">
              <w:rPr>
                <w:szCs w:val="22"/>
              </w:rPr>
              <w:t>.</w:t>
            </w:r>
            <w:r w:rsidR="00773048" w:rsidRPr="000A5C1C">
              <w:rPr>
                <w:szCs w:val="22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695D7B18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Medical</w:t>
            </w:r>
            <w:r w:rsidR="000A5C1C">
              <w:rPr>
                <w:szCs w:val="22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14:paraId="42483258" w14:textId="01EBE475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>Social</w:t>
            </w:r>
            <w:r w:rsidR="00A446CE">
              <w:rPr>
                <w:szCs w:val="22"/>
              </w:rPr>
              <w:t xml:space="preserve"> - by compliance</w:t>
            </w:r>
            <w:r>
              <w:rPr>
                <w:szCs w:val="22"/>
              </w:rPr>
              <w:t xml:space="preserve">. </w:t>
            </w:r>
          </w:p>
        </w:tc>
        <w:tc>
          <w:tcPr>
            <w:tcW w:w="1897" w:type="dxa"/>
            <w:shd w:val="clear" w:color="auto" w:fill="auto"/>
          </w:tcPr>
          <w:p w14:paraId="66C01FA6" w14:textId="558F3282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>Social</w:t>
            </w:r>
            <w:r w:rsidR="00A446CE">
              <w:rPr>
                <w:szCs w:val="22"/>
              </w:rPr>
              <w:t xml:space="preserve"> – by conviction</w:t>
            </w:r>
            <w:r>
              <w:rPr>
                <w:szCs w:val="22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14:paraId="738B20A8" w14:textId="0E2D8362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Social</w:t>
            </w:r>
            <w:r w:rsidR="00651B9B">
              <w:rPr>
                <w:szCs w:val="22"/>
              </w:rPr>
              <w:t xml:space="preserve"> –</w:t>
            </w:r>
            <w:r w:rsidR="005A4CFE">
              <w:rPr>
                <w:szCs w:val="22"/>
              </w:rPr>
              <w:t xml:space="preserve"> </w:t>
            </w:r>
            <w:r w:rsidR="00651B9B">
              <w:rPr>
                <w:szCs w:val="22"/>
              </w:rPr>
              <w:t xml:space="preserve">by </w:t>
            </w:r>
            <w:r w:rsidR="000F2AF2">
              <w:rPr>
                <w:szCs w:val="22"/>
              </w:rPr>
              <w:t>collaboration</w:t>
            </w:r>
            <w:r w:rsidR="000A5C1C">
              <w:rPr>
                <w:szCs w:val="22"/>
              </w:rPr>
              <w:t>.</w:t>
            </w:r>
          </w:p>
        </w:tc>
      </w:tr>
      <w:tr w:rsidR="00007AA5" w14:paraId="042B5B9B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70D4B019" w14:textId="77777777" w:rsidR="00CC10EF" w:rsidRPr="000A5C1C" w:rsidRDefault="00773048" w:rsidP="006B2472">
            <w:pPr>
              <w:rPr>
                <w:b/>
                <w:bCs/>
                <w:szCs w:val="22"/>
              </w:rPr>
            </w:pPr>
            <w:r w:rsidRPr="000A5C1C">
              <w:rPr>
                <w:b/>
                <w:bCs/>
                <w:szCs w:val="22"/>
              </w:rPr>
              <w:t>What is the focus of effort?</w:t>
            </w:r>
          </w:p>
        </w:tc>
        <w:tc>
          <w:tcPr>
            <w:tcW w:w="1410" w:type="dxa"/>
            <w:shd w:val="clear" w:color="auto" w:fill="auto"/>
          </w:tcPr>
          <w:p w14:paraId="2A749570" w14:textId="16E1C90E" w:rsidR="00CC10EF" w:rsidRPr="000A5C1C" w:rsidRDefault="00773048" w:rsidP="006B2472">
            <w:r>
              <w:t>Justify non action or seek exemption</w:t>
            </w:r>
            <w:r w:rsidR="000A5C1C">
              <w:t>.</w:t>
            </w:r>
          </w:p>
        </w:tc>
        <w:tc>
          <w:tcPr>
            <w:tcW w:w="1470" w:type="dxa"/>
            <w:shd w:val="clear" w:color="auto" w:fill="auto"/>
          </w:tcPr>
          <w:p w14:paraId="5595A1F5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React to barriers</w:t>
            </w:r>
            <w:r w:rsidR="000A5C1C">
              <w:rPr>
                <w:szCs w:val="22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14:paraId="68731DA7" w14:textId="77777777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>Make websites i</w:t>
            </w:r>
            <w:r w:rsidR="00CC10EF" w:rsidRPr="000A5C1C">
              <w:rPr>
                <w:szCs w:val="22"/>
              </w:rPr>
              <w:t>nclusive</w:t>
            </w:r>
            <w:r>
              <w:rPr>
                <w:szCs w:val="22"/>
              </w:rPr>
              <w:t>.</w:t>
            </w:r>
            <w:r w:rsidR="00CC10EF" w:rsidRPr="000A5C1C">
              <w:rPr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14:paraId="23456DDB" w14:textId="1633E888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 xml:space="preserve">Make </w:t>
            </w:r>
            <w:r w:rsidR="001E700B">
              <w:rPr>
                <w:szCs w:val="22"/>
              </w:rPr>
              <w:t xml:space="preserve">teaching </w:t>
            </w:r>
            <w:r w:rsidR="00210B87">
              <w:rPr>
                <w:szCs w:val="22"/>
              </w:rPr>
              <w:t xml:space="preserve">and learning </w:t>
            </w:r>
            <w:r>
              <w:rPr>
                <w:szCs w:val="22"/>
              </w:rPr>
              <w:t>i</w:t>
            </w:r>
            <w:r w:rsidR="00CC10EF" w:rsidRPr="000A5C1C">
              <w:rPr>
                <w:szCs w:val="22"/>
              </w:rPr>
              <w:t>nclusive</w:t>
            </w:r>
            <w:r>
              <w:rPr>
                <w:szCs w:val="22"/>
              </w:rPr>
              <w:t>.</w:t>
            </w:r>
            <w:r w:rsidR="00CC10EF" w:rsidRPr="000A5C1C">
              <w:rPr>
                <w:szCs w:val="22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39942A66" w14:textId="2C10378D" w:rsidR="00CC10EF" w:rsidRPr="000A5C1C" w:rsidRDefault="000A5C1C" w:rsidP="006B2472">
            <w:pPr>
              <w:rPr>
                <w:szCs w:val="22"/>
              </w:rPr>
            </w:pPr>
            <w:r>
              <w:rPr>
                <w:szCs w:val="22"/>
              </w:rPr>
              <w:t xml:space="preserve">Make </w:t>
            </w:r>
            <w:r w:rsidR="00D20B63">
              <w:rPr>
                <w:szCs w:val="22"/>
              </w:rPr>
              <w:t>everything inclusive</w:t>
            </w:r>
            <w:r>
              <w:rPr>
                <w:szCs w:val="22"/>
              </w:rPr>
              <w:t>.</w:t>
            </w:r>
          </w:p>
        </w:tc>
      </w:tr>
      <w:tr w:rsidR="421F9EC7" w14:paraId="7D8B4657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7AAF1D1C" w14:textId="7D400718" w:rsidR="37AAF8CB" w:rsidRDefault="37AAF8CB" w:rsidP="421F9EC7">
            <w:pPr>
              <w:rPr>
                <w:b/>
                <w:bCs/>
              </w:rPr>
            </w:pPr>
            <w:r w:rsidRPr="421F9EC7">
              <w:rPr>
                <w:b/>
                <w:bCs/>
              </w:rPr>
              <w:t>Skills and expertise</w:t>
            </w:r>
          </w:p>
        </w:tc>
        <w:tc>
          <w:tcPr>
            <w:tcW w:w="1410" w:type="dxa"/>
            <w:shd w:val="clear" w:color="auto" w:fill="auto"/>
          </w:tcPr>
          <w:p w14:paraId="36ADB719" w14:textId="4B79E47B" w:rsidR="37AAF8CB" w:rsidRDefault="37AAF8CB" w:rsidP="421F9EC7">
            <w:r>
              <w:t>Unidentified or sparse.</w:t>
            </w:r>
          </w:p>
        </w:tc>
        <w:tc>
          <w:tcPr>
            <w:tcW w:w="1470" w:type="dxa"/>
            <w:shd w:val="clear" w:color="auto" w:fill="auto"/>
          </w:tcPr>
          <w:p w14:paraId="20DA5805" w14:textId="78BD40F6" w:rsidR="37AAF8CB" w:rsidRDefault="37AAF8CB" w:rsidP="421F9EC7">
            <w:r>
              <w:t>Located in disability teams.</w:t>
            </w:r>
          </w:p>
        </w:tc>
        <w:tc>
          <w:tcPr>
            <w:tcW w:w="1523" w:type="dxa"/>
            <w:shd w:val="clear" w:color="auto" w:fill="auto"/>
          </w:tcPr>
          <w:p w14:paraId="618F81CE" w14:textId="5B5D05D6" w:rsidR="37AAF8CB" w:rsidRDefault="37AAF8CB" w:rsidP="421F9EC7">
            <w:r>
              <w:t>Pockets of expertise available.</w:t>
            </w:r>
          </w:p>
        </w:tc>
        <w:tc>
          <w:tcPr>
            <w:tcW w:w="1897" w:type="dxa"/>
            <w:shd w:val="clear" w:color="auto" w:fill="auto"/>
          </w:tcPr>
          <w:p w14:paraId="3D64DA4C" w14:textId="3A064956" w:rsidR="37AAF8CB" w:rsidRDefault="37AAF8CB" w:rsidP="421F9EC7">
            <w:r>
              <w:t>Available across broad teams.</w:t>
            </w:r>
          </w:p>
        </w:tc>
        <w:tc>
          <w:tcPr>
            <w:tcW w:w="2083" w:type="dxa"/>
            <w:shd w:val="clear" w:color="auto" w:fill="auto"/>
          </w:tcPr>
          <w:p w14:paraId="11CD7527" w14:textId="02DE1B4C" w:rsidR="37AAF8CB" w:rsidRDefault="37AAF8CB" w:rsidP="421F9EC7">
            <w:r>
              <w:t>Accessible practices are core professional values</w:t>
            </w:r>
          </w:p>
        </w:tc>
      </w:tr>
      <w:tr w:rsidR="00007AA5" w14:paraId="598A5CBA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0E6606E7" w14:textId="71372B89" w:rsidR="00CC10EF" w:rsidRPr="000A5C1C" w:rsidRDefault="107CD1C4" w:rsidP="421F9EC7">
            <w:pPr>
              <w:rPr>
                <w:b/>
                <w:bCs/>
              </w:rPr>
            </w:pPr>
            <w:r w:rsidRPr="421F9EC7">
              <w:rPr>
                <w:b/>
                <w:bCs/>
              </w:rPr>
              <w:t>Digital accessibility is in which policies</w:t>
            </w:r>
            <w:r w:rsidR="00773048" w:rsidRPr="421F9EC7">
              <w:rPr>
                <w:b/>
                <w:bCs/>
              </w:rPr>
              <w:t>?</w:t>
            </w:r>
          </w:p>
        </w:tc>
        <w:tc>
          <w:tcPr>
            <w:tcW w:w="1410" w:type="dxa"/>
            <w:shd w:val="clear" w:color="auto" w:fill="auto"/>
          </w:tcPr>
          <w:p w14:paraId="7B238B3B" w14:textId="57332418" w:rsidR="00CC10EF" w:rsidRPr="000A5C1C" w:rsidRDefault="00C9384B" w:rsidP="006B2472">
            <w:pPr>
              <w:rPr>
                <w:szCs w:val="22"/>
              </w:rPr>
            </w:pPr>
            <w:r>
              <w:rPr>
                <w:szCs w:val="22"/>
              </w:rPr>
              <w:t>Hard to find in</w:t>
            </w:r>
            <w:r w:rsidR="00CC10EF" w:rsidRPr="000A5C1C">
              <w:rPr>
                <w:szCs w:val="22"/>
              </w:rPr>
              <w:t xml:space="preserve"> any policies</w:t>
            </w:r>
            <w:r w:rsidR="000A5C1C">
              <w:rPr>
                <w:szCs w:val="22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1DA142EF" w14:textId="0F10760E" w:rsidR="00CC10EF" w:rsidRPr="000A5C1C" w:rsidRDefault="000755A6" w:rsidP="006B2472">
            <w:r>
              <w:t xml:space="preserve">Assistive tech visible in </w:t>
            </w:r>
            <w:r w:rsidR="00CC10EF">
              <w:t>Disability policies</w:t>
            </w:r>
            <w:r w:rsidR="005C3B3B">
              <w:t>.</w:t>
            </w:r>
          </w:p>
        </w:tc>
        <w:tc>
          <w:tcPr>
            <w:tcW w:w="1523" w:type="dxa"/>
            <w:shd w:val="clear" w:color="auto" w:fill="auto"/>
          </w:tcPr>
          <w:p w14:paraId="4E917EE6" w14:textId="4796554C" w:rsidR="00CC10EF" w:rsidRPr="000A5C1C" w:rsidRDefault="50124665" w:rsidP="006B2472">
            <w:r>
              <w:t>Disability</w:t>
            </w:r>
            <w:r w:rsidR="005C3B3B">
              <w:t>.</w:t>
            </w:r>
            <w:r>
              <w:t xml:space="preserve"> </w:t>
            </w:r>
            <w:r w:rsidR="00CC10EF">
              <w:t>IT</w:t>
            </w:r>
            <w:r w:rsidR="01B20551">
              <w:t xml:space="preserve"> and p</w:t>
            </w:r>
            <w:r w:rsidR="008047C7">
              <w:t>rocurement</w:t>
            </w:r>
            <w:r w:rsidR="005C3B3B">
              <w:t>.</w:t>
            </w:r>
            <w:r w:rsidR="008047C7"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14:paraId="565B4C20" w14:textId="14C62944" w:rsidR="00CC10EF" w:rsidRPr="000A5C1C" w:rsidRDefault="00CC10EF" w:rsidP="006B2472">
            <w:r>
              <w:t xml:space="preserve">IT, </w:t>
            </w:r>
            <w:r w:rsidR="008047C7">
              <w:t xml:space="preserve">procurement, </w:t>
            </w:r>
            <w:r>
              <w:t>disability &amp; teaching</w:t>
            </w:r>
            <w:r w:rsidR="00660BB6">
              <w:t>/</w:t>
            </w:r>
          </w:p>
          <w:p w14:paraId="3EBE209C" w14:textId="2A75845B" w:rsidR="00CC10EF" w:rsidRPr="000A5C1C" w:rsidRDefault="00560896" w:rsidP="006B2472">
            <w:r>
              <w:t>L</w:t>
            </w:r>
            <w:r w:rsidR="00CC10EF">
              <w:t>earning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14:paraId="1EF5DF75" w14:textId="78A59300" w:rsidR="00CC10EF" w:rsidRPr="000A5C1C" w:rsidRDefault="00CC10EF" w:rsidP="006B2472">
            <w:r>
              <w:t>Wide range of policies</w:t>
            </w:r>
            <w:r w:rsidR="000A5C1C">
              <w:t xml:space="preserve"> (</w:t>
            </w:r>
            <w:r w:rsidR="00D20B63">
              <w:t>including marketing</w:t>
            </w:r>
            <w:r w:rsidR="2114B1D3">
              <w:t xml:space="preserve"> /comms</w:t>
            </w:r>
            <w:r w:rsidR="000A5C1C">
              <w:t xml:space="preserve"> etc)</w:t>
            </w:r>
            <w:r>
              <w:t xml:space="preserve">. </w:t>
            </w:r>
          </w:p>
        </w:tc>
      </w:tr>
      <w:tr w:rsidR="00007AA5" w14:paraId="7385F777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2C142184" w14:textId="24D7EC99" w:rsidR="00CC10EF" w:rsidRPr="000A5C1C" w:rsidRDefault="70192FB0" w:rsidP="421F9EC7">
            <w:pPr>
              <w:rPr>
                <w:b/>
                <w:bCs/>
              </w:rPr>
            </w:pPr>
            <w:r w:rsidRPr="421F9EC7">
              <w:rPr>
                <w:b/>
                <w:bCs/>
              </w:rPr>
              <w:t>T</w:t>
            </w:r>
            <w:r w:rsidR="00AA315B" w:rsidRPr="421F9EC7">
              <w:rPr>
                <w:b/>
                <w:bCs/>
              </w:rPr>
              <w:t>he</w:t>
            </w:r>
            <w:r w:rsidR="60188477" w:rsidRPr="421F9EC7">
              <w:rPr>
                <w:b/>
                <w:bCs/>
              </w:rPr>
              <w:t xml:space="preserve"> </w:t>
            </w:r>
            <w:r w:rsidR="001504C7" w:rsidRPr="421F9EC7">
              <w:rPr>
                <w:b/>
                <w:bCs/>
              </w:rPr>
              <w:t>culture</w:t>
            </w:r>
            <w:r w:rsidR="673AFEB9" w:rsidRPr="421F9EC7">
              <w:rPr>
                <w:b/>
                <w:bCs/>
              </w:rPr>
              <w:t xml:space="preserve"> feel</w:t>
            </w:r>
            <w:r w:rsidR="35671B5B" w:rsidRPr="421F9EC7">
              <w:rPr>
                <w:b/>
                <w:bCs/>
              </w:rPr>
              <w:t>s</w:t>
            </w:r>
            <w:r w:rsidR="673AFEB9" w:rsidRPr="421F9EC7">
              <w:rPr>
                <w:b/>
                <w:bCs/>
              </w:rPr>
              <w:t xml:space="preserve"> like</w:t>
            </w:r>
            <w:r w:rsidR="3B5A0562" w:rsidRPr="421F9EC7">
              <w:rPr>
                <w:b/>
                <w:bCs/>
              </w:rPr>
              <w:t>...</w:t>
            </w:r>
            <w:r w:rsidR="673AFEB9" w:rsidRPr="421F9EC7">
              <w:rPr>
                <w:b/>
                <w:bCs/>
              </w:rPr>
              <w:t>?</w:t>
            </w:r>
          </w:p>
        </w:tc>
        <w:tc>
          <w:tcPr>
            <w:tcW w:w="1410" w:type="dxa"/>
            <w:shd w:val="clear" w:color="auto" w:fill="auto"/>
          </w:tcPr>
          <w:p w14:paraId="1B56858B" w14:textId="4CEF9FD9" w:rsidR="00CC10EF" w:rsidRPr="000A5C1C" w:rsidRDefault="00017ABA" w:rsidP="006B2472">
            <w:pPr>
              <w:rPr>
                <w:szCs w:val="22"/>
              </w:rPr>
            </w:pPr>
            <w:r>
              <w:rPr>
                <w:szCs w:val="22"/>
              </w:rPr>
              <w:t xml:space="preserve">Disability </w:t>
            </w:r>
            <w:r w:rsidR="00B100BF">
              <w:rPr>
                <w:szCs w:val="22"/>
              </w:rPr>
              <w:t>invisibility</w:t>
            </w:r>
            <w:r w:rsidR="00CF1DEF">
              <w:rPr>
                <w:szCs w:val="22"/>
              </w:rPr>
              <w:t xml:space="preserve"> / </w:t>
            </w:r>
            <w:r>
              <w:rPr>
                <w:szCs w:val="22"/>
              </w:rPr>
              <w:t>i</w:t>
            </w:r>
            <w:r w:rsidR="00CC10EF" w:rsidRPr="000A5C1C">
              <w:rPr>
                <w:szCs w:val="22"/>
              </w:rPr>
              <w:t>gnorance</w:t>
            </w:r>
            <w:r w:rsidR="00773048" w:rsidRPr="000A5C1C">
              <w:rPr>
                <w:szCs w:val="22"/>
              </w:rPr>
              <w:t xml:space="preserve"> </w:t>
            </w:r>
            <w:r>
              <w:rPr>
                <w:szCs w:val="22"/>
              </w:rPr>
              <w:t>/</w:t>
            </w:r>
            <w:r w:rsidR="00773048" w:rsidRPr="000A5C1C">
              <w:rPr>
                <w:szCs w:val="22"/>
              </w:rPr>
              <w:t xml:space="preserve"> avoidance.</w:t>
            </w:r>
          </w:p>
        </w:tc>
        <w:tc>
          <w:tcPr>
            <w:tcW w:w="1470" w:type="dxa"/>
            <w:shd w:val="clear" w:color="auto" w:fill="auto"/>
          </w:tcPr>
          <w:p w14:paraId="614DEF00" w14:textId="2680623A" w:rsidR="00CC10EF" w:rsidRPr="000A5C1C" w:rsidRDefault="007746F0" w:rsidP="006B2472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1A0026" w:rsidRPr="000A5C1C">
              <w:rPr>
                <w:szCs w:val="22"/>
              </w:rPr>
              <w:t>ilos</w:t>
            </w:r>
            <w:r>
              <w:rPr>
                <w:szCs w:val="22"/>
              </w:rPr>
              <w:t xml:space="preserve"> of expertise</w:t>
            </w:r>
            <w:r w:rsidR="004528D6">
              <w:rPr>
                <w:szCs w:val="22"/>
              </w:rPr>
              <w:t xml:space="preserve"> but little </w:t>
            </w:r>
            <w:r w:rsidR="00D77A94">
              <w:rPr>
                <w:szCs w:val="22"/>
              </w:rPr>
              <w:t>skills transfer.</w:t>
            </w:r>
          </w:p>
        </w:tc>
        <w:tc>
          <w:tcPr>
            <w:tcW w:w="1523" w:type="dxa"/>
            <w:shd w:val="clear" w:color="auto" w:fill="auto"/>
          </w:tcPr>
          <w:p w14:paraId="05D6B41C" w14:textId="2FE66511" w:rsidR="00CC10EF" w:rsidRPr="000A5C1C" w:rsidRDefault="00CC10EF" w:rsidP="006B2472">
            <w:r>
              <w:t>Risk avers</w:t>
            </w:r>
            <w:r w:rsidR="00773048">
              <w:t>ion</w:t>
            </w:r>
            <w:r w:rsidR="606A1892">
              <w:t xml:space="preserve"> by </w:t>
            </w:r>
            <w:proofErr w:type="spellStart"/>
            <w:r w:rsidR="606A1892">
              <w:t>standardis-ation</w:t>
            </w:r>
            <w:proofErr w:type="spellEnd"/>
            <w:r w:rsidR="00660BB6">
              <w:t>.</w:t>
            </w:r>
          </w:p>
        </w:tc>
        <w:tc>
          <w:tcPr>
            <w:tcW w:w="1897" w:type="dxa"/>
            <w:shd w:val="clear" w:color="auto" w:fill="auto"/>
          </w:tcPr>
          <w:p w14:paraId="18C8593C" w14:textId="58849FDC" w:rsidR="00CC10EF" w:rsidRPr="000A5C1C" w:rsidRDefault="51774FD2" w:rsidP="006B2472">
            <w:r>
              <w:t>Innovation encouraged</w:t>
            </w:r>
            <w:r w:rsidR="00E055CA">
              <w:t>. P</w:t>
            </w:r>
            <w:r w:rsidR="00401C61">
              <w:t xml:space="preserve">ermission </w:t>
            </w:r>
            <w:r w:rsidR="00907C3A">
              <w:t xml:space="preserve">to </w:t>
            </w:r>
            <w:r w:rsidR="00772A8A">
              <w:t>take risks</w:t>
            </w:r>
            <w:r w:rsidR="1DAF6F55">
              <w:t xml:space="preserve"> within a framework</w:t>
            </w:r>
            <w:r w:rsidR="001A0026">
              <w:t>.</w:t>
            </w:r>
          </w:p>
        </w:tc>
        <w:tc>
          <w:tcPr>
            <w:tcW w:w="2083" w:type="dxa"/>
            <w:shd w:val="clear" w:color="auto" w:fill="auto"/>
          </w:tcPr>
          <w:p w14:paraId="59141C13" w14:textId="1AA4FC6D" w:rsidR="00CC10EF" w:rsidRPr="000A5C1C" w:rsidRDefault="001A0026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Partnership</w:t>
            </w:r>
            <w:r w:rsidR="001504C7">
              <w:rPr>
                <w:szCs w:val="22"/>
              </w:rPr>
              <w:t>, creativity</w:t>
            </w:r>
            <w:r w:rsidRPr="000A5C1C">
              <w:rPr>
                <w:szCs w:val="22"/>
              </w:rPr>
              <w:t xml:space="preserve"> &amp; embedding </w:t>
            </w:r>
            <w:r w:rsidR="001504C7">
              <w:rPr>
                <w:szCs w:val="22"/>
              </w:rPr>
              <w:t>good practice</w:t>
            </w:r>
            <w:r w:rsidRPr="000A5C1C">
              <w:rPr>
                <w:szCs w:val="22"/>
              </w:rPr>
              <w:t>.</w:t>
            </w:r>
          </w:p>
        </w:tc>
      </w:tr>
      <w:tr w:rsidR="421F9EC7" w14:paraId="7367397B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729C71EE" w14:textId="0AC833CF" w:rsidR="7CCF73FE" w:rsidRDefault="7CCF73FE" w:rsidP="421F9EC7">
            <w:pPr>
              <w:rPr>
                <w:b/>
                <w:bCs/>
              </w:rPr>
            </w:pPr>
            <w:r w:rsidRPr="421F9EC7">
              <w:rPr>
                <w:b/>
                <w:bCs/>
              </w:rPr>
              <w:t>Student digital experience</w:t>
            </w:r>
            <w:r w:rsidR="36A58384" w:rsidRPr="421F9EC7">
              <w:rPr>
                <w:b/>
                <w:bCs/>
              </w:rPr>
              <w:t>?</w:t>
            </w:r>
          </w:p>
        </w:tc>
        <w:tc>
          <w:tcPr>
            <w:tcW w:w="1410" w:type="dxa"/>
            <w:shd w:val="clear" w:color="auto" w:fill="auto"/>
          </w:tcPr>
          <w:p w14:paraId="4619759B" w14:textId="7F9A5B8D" w:rsidR="7CCF73FE" w:rsidRDefault="7CCF73FE" w:rsidP="421F9EC7">
            <w:r>
              <w:t xml:space="preserve">Students </w:t>
            </w:r>
            <w:r w:rsidR="00D20B63">
              <w:t>self-advocate</w:t>
            </w:r>
            <w:r>
              <w:t>.</w:t>
            </w:r>
          </w:p>
        </w:tc>
        <w:tc>
          <w:tcPr>
            <w:tcW w:w="1470" w:type="dxa"/>
            <w:shd w:val="clear" w:color="auto" w:fill="auto"/>
          </w:tcPr>
          <w:p w14:paraId="6FA78CB7" w14:textId="78F1F166" w:rsidR="7CCF73FE" w:rsidRDefault="7CCF73FE" w:rsidP="421F9EC7">
            <w:r>
              <w:t>Disability team focus on disclosure.</w:t>
            </w:r>
          </w:p>
        </w:tc>
        <w:tc>
          <w:tcPr>
            <w:tcW w:w="1523" w:type="dxa"/>
            <w:shd w:val="clear" w:color="auto" w:fill="auto"/>
          </w:tcPr>
          <w:p w14:paraId="348D8F09" w14:textId="442E1689" w:rsidR="7CCF73FE" w:rsidRDefault="7CCF73FE" w:rsidP="421F9EC7">
            <w:r>
              <w:t>Pockets of digital accessibility.</w:t>
            </w:r>
          </w:p>
        </w:tc>
        <w:tc>
          <w:tcPr>
            <w:tcW w:w="1897" w:type="dxa"/>
            <w:shd w:val="clear" w:color="auto" w:fill="auto"/>
          </w:tcPr>
          <w:p w14:paraId="182B1A13" w14:textId="54D6F003" w:rsidR="7CCF73FE" w:rsidRDefault="7CCF73FE" w:rsidP="421F9EC7">
            <w:r>
              <w:t>Mainstream digital accessibility</w:t>
            </w:r>
            <w:r w:rsidR="00F27BA1">
              <w:t xml:space="preserve"> aids productivity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14:paraId="0B79B7A9" w14:textId="5DAFEC9E" w:rsidR="7CCF73FE" w:rsidRDefault="7CCF73FE" w:rsidP="421F9EC7">
            <w:r>
              <w:t>Students actively involved in shaping practice/policy</w:t>
            </w:r>
          </w:p>
        </w:tc>
      </w:tr>
      <w:tr w:rsidR="00007AA5" w14:paraId="38144A27" w14:textId="77777777" w:rsidTr="00895E42">
        <w:trPr>
          <w:tblHeader/>
        </w:trPr>
        <w:tc>
          <w:tcPr>
            <w:tcW w:w="1650" w:type="dxa"/>
            <w:shd w:val="clear" w:color="auto" w:fill="E7E6E6"/>
          </w:tcPr>
          <w:p w14:paraId="354DCDC1" w14:textId="2BEF4FC7" w:rsidR="00CC10EF" w:rsidRPr="000A5C1C" w:rsidRDefault="001504C7" w:rsidP="421F9EC7">
            <w:pPr>
              <w:rPr>
                <w:b/>
                <w:bCs/>
              </w:rPr>
            </w:pPr>
            <w:r w:rsidRPr="421F9EC7">
              <w:rPr>
                <w:b/>
                <w:bCs/>
              </w:rPr>
              <w:t>Potential</w:t>
            </w:r>
            <w:r w:rsidR="00CC10EF" w:rsidRPr="421F9EC7">
              <w:rPr>
                <w:b/>
                <w:bCs/>
              </w:rPr>
              <w:t xml:space="preserve"> next step</w:t>
            </w:r>
            <w:r w:rsidRPr="421F9EC7">
              <w:rPr>
                <w:b/>
                <w:bCs/>
              </w:rPr>
              <w:t>s to highlight</w:t>
            </w:r>
            <w:r w:rsidR="1711FFDA" w:rsidRPr="421F9EC7">
              <w:rPr>
                <w:b/>
                <w:bCs/>
              </w:rPr>
              <w:t>?</w:t>
            </w:r>
          </w:p>
        </w:tc>
        <w:tc>
          <w:tcPr>
            <w:tcW w:w="1410" w:type="dxa"/>
            <w:shd w:val="clear" w:color="auto" w:fill="auto"/>
          </w:tcPr>
          <w:p w14:paraId="04DB36A4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Legal obligations</w:t>
            </w:r>
            <w:r w:rsidR="00660BB6">
              <w:rPr>
                <w:szCs w:val="22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68CBD6AA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 xml:space="preserve">Digital accessibility (institutional systems). </w:t>
            </w:r>
          </w:p>
        </w:tc>
        <w:tc>
          <w:tcPr>
            <w:tcW w:w="1523" w:type="dxa"/>
            <w:shd w:val="clear" w:color="auto" w:fill="auto"/>
          </w:tcPr>
          <w:p w14:paraId="6EF73496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Digital accessibility in the classroom</w:t>
            </w:r>
            <w:r w:rsidR="00660BB6">
              <w:rPr>
                <w:szCs w:val="22"/>
              </w:rPr>
              <w:t>.</w:t>
            </w:r>
            <w:r w:rsidRPr="000A5C1C">
              <w:rPr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14:paraId="1CA94FDC" w14:textId="77777777" w:rsidR="00CC10EF" w:rsidRPr="000A5C1C" w:rsidRDefault="00CC10EF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Inclusive pedagogy and practice</w:t>
            </w:r>
            <w:r w:rsidR="00660BB6">
              <w:rPr>
                <w:szCs w:val="22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14:paraId="26697E05" w14:textId="77777777" w:rsidR="00CC10EF" w:rsidRPr="000A5C1C" w:rsidRDefault="00556E5B" w:rsidP="006B2472">
            <w:pPr>
              <w:rPr>
                <w:szCs w:val="22"/>
              </w:rPr>
            </w:pPr>
            <w:r w:rsidRPr="000A5C1C">
              <w:rPr>
                <w:szCs w:val="22"/>
              </w:rPr>
              <w:t>Celebrate and communicate achievements.</w:t>
            </w:r>
          </w:p>
        </w:tc>
      </w:tr>
    </w:tbl>
    <w:p w14:paraId="7D6D86D1" w14:textId="77777777" w:rsidR="00CC10EF" w:rsidRDefault="00CC10EF" w:rsidP="00552F7F"/>
    <w:p w14:paraId="6DD9F928" w14:textId="577E40C1" w:rsidR="00007AA5" w:rsidRPr="00044C4F" w:rsidRDefault="00007AA5" w:rsidP="0D77C434">
      <w:pPr>
        <w:rPr>
          <w:i/>
          <w:iCs/>
        </w:rPr>
      </w:pPr>
      <w:r w:rsidRPr="0D77C434">
        <w:rPr>
          <w:i/>
          <w:iCs/>
        </w:rPr>
        <w:t xml:space="preserve">Developed from </w:t>
      </w:r>
      <w:proofErr w:type="spellStart"/>
      <w:r w:rsidRPr="0D77C434">
        <w:rPr>
          <w:i/>
          <w:iCs/>
        </w:rPr>
        <w:t>TechDis</w:t>
      </w:r>
      <w:proofErr w:type="spellEnd"/>
      <w:r w:rsidRPr="0D77C434">
        <w:rPr>
          <w:i/>
          <w:iCs/>
        </w:rPr>
        <w:t xml:space="preserve"> Accessibility Maturity model (McNaught 200</w:t>
      </w:r>
      <w:r w:rsidR="0B9B2BC4" w:rsidRPr="0D77C434">
        <w:rPr>
          <w:i/>
          <w:iCs/>
        </w:rPr>
        <w:t>6</w:t>
      </w:r>
      <w:r w:rsidRPr="0D77C434">
        <w:rPr>
          <w:i/>
          <w:iCs/>
        </w:rPr>
        <w:t>) with</w:t>
      </w:r>
      <w:r w:rsidR="001504C7" w:rsidRPr="0D77C434">
        <w:rPr>
          <w:i/>
          <w:iCs/>
        </w:rPr>
        <w:t xml:space="preserve"> additional </w:t>
      </w:r>
      <w:r w:rsidRPr="0D77C434">
        <w:rPr>
          <w:i/>
          <w:iCs/>
        </w:rPr>
        <w:t xml:space="preserve">input from </w:t>
      </w:r>
      <w:r w:rsidR="00044C4F" w:rsidRPr="0D77C434">
        <w:rPr>
          <w:i/>
          <w:iCs/>
        </w:rPr>
        <w:t>Alistair McNaught Consulting</w:t>
      </w:r>
      <w:r w:rsidR="001504C7" w:rsidRPr="0D77C434">
        <w:rPr>
          <w:i/>
          <w:iCs/>
        </w:rPr>
        <w:t xml:space="preserve"> and</w:t>
      </w:r>
      <w:r w:rsidR="00044C4F" w:rsidRPr="0D77C434">
        <w:rPr>
          <w:i/>
          <w:iCs/>
        </w:rPr>
        <w:t xml:space="preserve"> AbilityNet</w:t>
      </w:r>
      <w:r w:rsidR="001504C7" w:rsidRPr="0D77C434">
        <w:rPr>
          <w:i/>
          <w:iCs/>
        </w:rPr>
        <w:t>.</w:t>
      </w:r>
      <w:r w:rsidRPr="0D77C434">
        <w:rPr>
          <w:i/>
          <w:iCs/>
        </w:rPr>
        <w:t xml:space="preserve"> </w:t>
      </w:r>
      <w:r w:rsidR="00044C4F" w:rsidRPr="0D77C434">
        <w:rPr>
          <w:b/>
          <w:bCs/>
          <w:i/>
          <w:iCs/>
        </w:rPr>
        <w:t>CC-BY-NC-SA</w:t>
      </w:r>
    </w:p>
    <w:p w14:paraId="1FAA7272" w14:textId="77777777" w:rsidR="00895E42" w:rsidRDefault="00895E42" w:rsidP="00895E42">
      <w:pPr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5E386FD6" w14:textId="10080B69" w:rsidR="00007AA5" w:rsidRDefault="00044C4F" w:rsidP="00FB7EE6">
      <w:pPr>
        <w:pStyle w:val="Heading2"/>
      </w:pPr>
      <w:r>
        <w:lastRenderedPageBreak/>
        <w:t>The 5 maturity levels in detail</w:t>
      </w:r>
    </w:p>
    <w:p w14:paraId="36274BC5" w14:textId="77777777" w:rsidR="00044C4F" w:rsidRDefault="00044C4F" w:rsidP="00044C4F"/>
    <w:p w14:paraId="1C92950B" w14:textId="47D8E004" w:rsidR="00044C4F" w:rsidRPr="00044C4F" w:rsidRDefault="00044C4F" w:rsidP="007C59A3">
      <w:pPr>
        <w:pStyle w:val="Heading3"/>
      </w:pPr>
      <w:r>
        <w:t>Level 1</w:t>
      </w:r>
      <w:r w:rsidR="19DFCBD8">
        <w:t xml:space="preserve"> – </w:t>
      </w:r>
      <w:r>
        <w:t>Luck</w:t>
      </w:r>
      <w:r w:rsidR="19DFCBD8">
        <w:t xml:space="preserve"> </w:t>
      </w:r>
    </w:p>
    <w:p w14:paraId="3E6C7D9F" w14:textId="38D3FE6F" w:rsidR="00044C4F" w:rsidRDefault="00044C4F" w:rsidP="00044C4F">
      <w:r>
        <w:t>This level has very high risk. Disability issues are firmly (and solely) the responsibility of the disability team</w:t>
      </w:r>
      <w:r w:rsidR="00FC3AB2">
        <w:t xml:space="preserve">. They work 1:1 helping </w:t>
      </w:r>
      <w:r>
        <w:t xml:space="preserve">learners over barriers that needn’t exist in the first place. Expertise is located in a few individuals, making the organisation very vulnerable to staff changes. Disability policies </w:t>
      </w:r>
      <w:r w:rsidR="00FC3AB2">
        <w:t xml:space="preserve">don’t </w:t>
      </w:r>
      <w:r>
        <w:t>reference digital accessibility</w:t>
      </w:r>
      <w:r w:rsidR="00FC3AB2">
        <w:t xml:space="preserve"> or</w:t>
      </w:r>
      <w:r w:rsidR="00B34837">
        <w:t xml:space="preserve"> teaching</w:t>
      </w:r>
      <w:r w:rsidR="00FC3AB2">
        <w:t>/</w:t>
      </w:r>
      <w:r w:rsidR="00B34837">
        <w:t>learning</w:t>
      </w:r>
      <w:r>
        <w:t xml:space="preserve">. </w:t>
      </w:r>
      <w:r w:rsidR="00B34837">
        <w:t xml:space="preserve">Nobody has responsibility for institution-wide </w:t>
      </w:r>
      <w:r w:rsidR="00FC3AB2">
        <w:t>digital accessibility and no policy covers it</w:t>
      </w:r>
      <w:r w:rsidR="00B34837">
        <w:t xml:space="preserve">. </w:t>
      </w:r>
    </w:p>
    <w:p w14:paraId="39F9E415" w14:textId="252C80D5" w:rsidR="00133908" w:rsidRDefault="00017ABA" w:rsidP="00DB6075">
      <w:pPr>
        <w:pStyle w:val="Heading4"/>
      </w:pPr>
      <w:r>
        <w:t xml:space="preserve">How </w:t>
      </w:r>
      <w:r w:rsidR="06B57749">
        <w:t>to</w:t>
      </w:r>
      <w:r w:rsidR="6E5FCE1E">
        <w:t xml:space="preserve"> </w:t>
      </w:r>
      <w:r w:rsidR="00133908">
        <w:t>move from Level 1</w:t>
      </w:r>
    </w:p>
    <w:p w14:paraId="134604FF" w14:textId="6A857476" w:rsidR="58E46160" w:rsidRDefault="00FC3AB2" w:rsidP="58E46160">
      <w:r>
        <w:t>T</w:t>
      </w:r>
      <w:r w:rsidR="00133908">
        <w:t xml:space="preserve">his </w:t>
      </w:r>
      <w:r>
        <w:t xml:space="preserve">is about </w:t>
      </w:r>
      <w:r w:rsidR="00133908" w:rsidRPr="421F9EC7">
        <w:rPr>
          <w:b/>
          <w:bCs/>
        </w:rPr>
        <w:t>prioriti</w:t>
      </w:r>
      <w:r w:rsidRPr="421F9EC7">
        <w:rPr>
          <w:b/>
          <w:bCs/>
        </w:rPr>
        <w:t>es</w:t>
      </w:r>
      <w:r w:rsidR="00133908">
        <w:t xml:space="preserve">. </w:t>
      </w:r>
      <w:r w:rsidR="1445E035">
        <w:t>It will involve being clear about the legislation, your risks and responsibilities</w:t>
      </w:r>
      <w:r w:rsidR="799A3741">
        <w:t>,</w:t>
      </w:r>
      <w:r w:rsidR="1445E035">
        <w:t xml:space="preserve"> a</w:t>
      </w:r>
      <w:r w:rsidR="2B9114BF">
        <w:t>nd</w:t>
      </w:r>
      <w:r w:rsidR="1445E035">
        <w:t xml:space="preserve"> disability</w:t>
      </w:r>
      <w:r w:rsidR="6BCB7618">
        <w:t xml:space="preserve"> awareness.</w:t>
      </w:r>
    </w:p>
    <w:p w14:paraId="581B0D3F" w14:textId="77777777" w:rsidR="00133908" w:rsidRDefault="00133908" w:rsidP="00044C4F">
      <w:pPr>
        <w:rPr>
          <w:szCs w:val="20"/>
        </w:rPr>
      </w:pPr>
    </w:p>
    <w:p w14:paraId="44406A49" w14:textId="77777777" w:rsidR="00B34837" w:rsidRDefault="00044C4F" w:rsidP="007C59A3">
      <w:pPr>
        <w:pStyle w:val="Heading3"/>
      </w:pPr>
      <w:r>
        <w:t>Level 2</w:t>
      </w:r>
      <w:r w:rsidR="00B34837">
        <w:t xml:space="preserve"> - Tokenism</w:t>
      </w:r>
    </w:p>
    <w:p w14:paraId="763A507A" w14:textId="5CD07D6A" w:rsidR="00044C4F" w:rsidRDefault="00133908" w:rsidP="00044C4F">
      <w:pPr>
        <w:rPr>
          <w:szCs w:val="20"/>
        </w:rPr>
      </w:pPr>
      <w:r>
        <w:t xml:space="preserve">This level is about </w:t>
      </w:r>
      <w:r w:rsidR="00B34837">
        <w:t>symptoms, not causes. It is characterised by policies that describe accessibility and inclusion in broad</w:t>
      </w:r>
      <w:r>
        <w:t xml:space="preserve"> </w:t>
      </w:r>
      <w:r w:rsidR="00B34837">
        <w:t xml:space="preserve">‘value statements’ without specific commitments to practice. Disability issues are the responsibility of the disability team – perhaps with support from the library – </w:t>
      </w:r>
      <w:r>
        <w:t>and the focus is on 1:1 or DSA support. T</w:t>
      </w:r>
      <w:r w:rsidR="00B34837">
        <w:t xml:space="preserve">here is no recognition of the role of </w:t>
      </w:r>
      <w:r w:rsidR="00B34837" w:rsidRPr="421F9EC7">
        <w:rPr>
          <w:i/>
          <w:iCs/>
        </w:rPr>
        <w:t>other</w:t>
      </w:r>
      <w:r w:rsidR="00B34837">
        <w:t xml:space="preserve"> staff in reducing barriers at source. Training tends to be </w:t>
      </w:r>
      <w:r>
        <w:t>“</w:t>
      </w:r>
      <w:r w:rsidR="00B34837">
        <w:t>issue</w:t>
      </w:r>
      <w:r>
        <w:t xml:space="preserve"> based”</w:t>
      </w:r>
      <w:r w:rsidR="00B34837">
        <w:t xml:space="preserve"> such as correct language rather than practices that benefit independence and productivity. Policies are likely to be standalone and </w:t>
      </w:r>
      <w:r>
        <w:t xml:space="preserve">very </w:t>
      </w:r>
      <w:r w:rsidR="00B34837">
        <w:t xml:space="preserve">generalised. Any institution-wide digital accessibility role is delegated to people with </w:t>
      </w:r>
      <w:r>
        <w:t xml:space="preserve">no </w:t>
      </w:r>
      <w:r w:rsidR="00B34837">
        <w:t xml:space="preserve">budget </w:t>
      </w:r>
      <w:r>
        <w:t xml:space="preserve">/ </w:t>
      </w:r>
      <w:r w:rsidR="00B34837">
        <w:t>authority to influence necessary changes.</w:t>
      </w:r>
    </w:p>
    <w:p w14:paraId="6E644D46" w14:textId="4F6E2084" w:rsidR="00133908" w:rsidRDefault="00017ABA" w:rsidP="00281B1D">
      <w:pPr>
        <w:pStyle w:val="Heading4"/>
      </w:pPr>
      <w:r>
        <w:t xml:space="preserve">How </w:t>
      </w:r>
      <w:r w:rsidR="05500F74">
        <w:t>to move</w:t>
      </w:r>
      <w:r w:rsidR="00133908">
        <w:t xml:space="preserve"> from Level 2</w:t>
      </w:r>
    </w:p>
    <w:p w14:paraId="7069191E" w14:textId="3DF9C84F" w:rsidR="00133908" w:rsidRDefault="00133908" w:rsidP="00133908">
      <w:r>
        <w:t xml:space="preserve">This is about </w:t>
      </w:r>
      <w:r w:rsidRPr="465661E6">
        <w:rPr>
          <w:b/>
          <w:bCs/>
        </w:rPr>
        <w:t>mindset</w:t>
      </w:r>
      <w:r w:rsidR="008C06C2">
        <w:t xml:space="preserve">; </w:t>
      </w:r>
      <w:r w:rsidR="08179AD8">
        <w:t xml:space="preserve">it involves </w:t>
      </w:r>
      <w:r w:rsidR="008C06C2">
        <w:t>help</w:t>
      </w:r>
      <w:r w:rsidR="7708FBB1">
        <w:t>ing</w:t>
      </w:r>
      <w:r w:rsidR="008C06C2">
        <w:t xml:space="preserve"> </w:t>
      </w:r>
      <w:r w:rsidR="44A3821C">
        <w:t xml:space="preserve">all </w:t>
      </w:r>
      <w:r w:rsidR="008C06C2">
        <w:t xml:space="preserve">staff </w:t>
      </w:r>
      <w:r w:rsidR="29C01368">
        <w:t>understand that digital accessibility involves all asp</w:t>
      </w:r>
      <w:r w:rsidR="5422413A">
        <w:t>ects of student experience</w:t>
      </w:r>
      <w:r w:rsidR="29C01368">
        <w:t>.</w:t>
      </w:r>
    </w:p>
    <w:p w14:paraId="362E4FFB" w14:textId="77777777" w:rsidR="00B34837" w:rsidRDefault="00B34837" w:rsidP="00044C4F">
      <w:pPr>
        <w:rPr>
          <w:szCs w:val="20"/>
        </w:rPr>
      </w:pPr>
    </w:p>
    <w:p w14:paraId="29BF2D2C" w14:textId="77777777" w:rsidR="00B34837" w:rsidRDefault="00D84D4B" w:rsidP="007C59A3">
      <w:pPr>
        <w:pStyle w:val="Heading3"/>
        <w:rPr>
          <w:szCs w:val="20"/>
        </w:rPr>
      </w:pPr>
      <w:r>
        <w:t>Level 3 - Standards</w:t>
      </w:r>
    </w:p>
    <w:p w14:paraId="2634B46C" w14:textId="2B3995A7" w:rsidR="00B34837" w:rsidRDefault="008C06C2" w:rsidP="00B34837">
      <w:r>
        <w:t xml:space="preserve">Focusing on standards can </w:t>
      </w:r>
      <w:r w:rsidR="00D84D4B">
        <w:t xml:space="preserve">reduce overall risks but </w:t>
      </w:r>
      <w:r>
        <w:t xml:space="preserve">also </w:t>
      </w:r>
      <w:r w:rsidR="00D84D4B">
        <w:t xml:space="preserve">lead to unintended consequences. </w:t>
      </w:r>
      <w:r>
        <w:t>T</w:t>
      </w:r>
      <w:r w:rsidR="00B34837">
        <w:t xml:space="preserve">echnical </w:t>
      </w:r>
      <w:r>
        <w:t xml:space="preserve">accessibility </w:t>
      </w:r>
      <w:r w:rsidR="00B34837">
        <w:t xml:space="preserve">standards </w:t>
      </w:r>
      <w:r>
        <w:t xml:space="preserve">are important but teaching is different to other digital contexts. Unrealistic demands on tutors uploading content </w:t>
      </w:r>
      <w:r w:rsidR="00B34837">
        <w:t>to learning platforms</w:t>
      </w:r>
      <w:r>
        <w:t xml:space="preserve"> may backfire, discouraging digital engagement. A d</w:t>
      </w:r>
      <w:r w:rsidR="00D84D4B">
        <w:t>ifferent kind of discrimination</w:t>
      </w:r>
      <w:r>
        <w:t xml:space="preserve"> can result, f</w:t>
      </w:r>
      <w:r w:rsidR="00D84D4B">
        <w:t xml:space="preserve">or example, high-value resources for dyslexics may be removed because they are not accessible to </w:t>
      </w:r>
      <w:proofErr w:type="spellStart"/>
      <w:r w:rsidR="00D84D4B">
        <w:t>screenreaders</w:t>
      </w:r>
      <w:proofErr w:type="spellEnd"/>
      <w:r w:rsidR="00D84D4B">
        <w:t xml:space="preserve">. </w:t>
      </w:r>
      <w:r w:rsidR="00FE7A60">
        <w:t>Inappropriate f</w:t>
      </w:r>
      <w:r w:rsidR="00D84D4B">
        <w:t xml:space="preserve">ocus </w:t>
      </w:r>
      <w:r w:rsidR="00B34837">
        <w:t xml:space="preserve">on technical standards </w:t>
      </w:r>
      <w:r w:rsidR="00D84D4B">
        <w:t xml:space="preserve">may </w:t>
      </w:r>
      <w:r>
        <w:t xml:space="preserve">force tutors back to </w:t>
      </w:r>
      <w:r w:rsidR="00B34837">
        <w:t xml:space="preserve">more traditional (and </w:t>
      </w:r>
      <w:r w:rsidR="00D84D4B">
        <w:t xml:space="preserve">less </w:t>
      </w:r>
      <w:r w:rsidR="00B34837">
        <w:t>accessible)</w:t>
      </w:r>
      <w:r w:rsidR="00D84D4B">
        <w:t xml:space="preserve"> practices</w:t>
      </w:r>
      <w:r w:rsidR="00B34837">
        <w:t xml:space="preserve">. </w:t>
      </w:r>
    </w:p>
    <w:p w14:paraId="7515F208" w14:textId="774553D7" w:rsidR="008C06C2" w:rsidRDefault="00017ABA" w:rsidP="00281B1D">
      <w:pPr>
        <w:pStyle w:val="Heading4"/>
      </w:pPr>
      <w:r>
        <w:t xml:space="preserve">How </w:t>
      </w:r>
      <w:r w:rsidR="05500F74">
        <w:t>to move</w:t>
      </w:r>
      <w:r w:rsidR="008C06C2">
        <w:t xml:space="preserve"> from Level </w:t>
      </w:r>
      <w:r w:rsidR="00FC3AB2">
        <w:t>3</w:t>
      </w:r>
    </w:p>
    <w:p w14:paraId="176580D3" w14:textId="47D135A7" w:rsidR="00FC3AB2" w:rsidRPr="00FC3AB2" w:rsidRDefault="00FC3AB2" w:rsidP="00FC3AB2">
      <w:r>
        <w:t>This</w:t>
      </w:r>
      <w:r w:rsidR="00C3330E">
        <w:t xml:space="preserve"> is </w:t>
      </w:r>
      <w:r>
        <w:t xml:space="preserve">about </w:t>
      </w:r>
      <w:r w:rsidRPr="421F9EC7">
        <w:rPr>
          <w:b/>
          <w:bCs/>
        </w:rPr>
        <w:t>focus</w:t>
      </w:r>
      <w:r>
        <w:t xml:space="preserve">; ensuring that positive teaching and learning outcomes drive your approach. </w:t>
      </w:r>
    </w:p>
    <w:p w14:paraId="4EFA58FE" w14:textId="77777777" w:rsidR="00B34837" w:rsidRDefault="00B34837" w:rsidP="00B34837">
      <w:pPr>
        <w:rPr>
          <w:szCs w:val="20"/>
        </w:rPr>
      </w:pPr>
    </w:p>
    <w:p w14:paraId="7534E63B" w14:textId="77777777" w:rsidR="00D84D4B" w:rsidRPr="000A5C1C" w:rsidRDefault="00D84D4B" w:rsidP="007C59A3">
      <w:pPr>
        <w:pStyle w:val="Heading3"/>
        <w:rPr>
          <w:sz w:val="22"/>
        </w:rPr>
      </w:pPr>
      <w:r>
        <w:t>Level 4 - Ownership</w:t>
      </w:r>
    </w:p>
    <w:p w14:paraId="09715D19" w14:textId="5FFD6B9B" w:rsidR="00B34837" w:rsidRDefault="00C3330E" w:rsidP="00B34837">
      <w:pPr>
        <w:rPr>
          <w:szCs w:val="20"/>
        </w:rPr>
      </w:pPr>
      <w:r>
        <w:t>D</w:t>
      </w:r>
      <w:r w:rsidR="00D84D4B">
        <w:t xml:space="preserve">igital accessibility is </w:t>
      </w:r>
      <w:r>
        <w:t xml:space="preserve">seen </w:t>
      </w:r>
      <w:r w:rsidR="00D84D4B">
        <w:t>as a positive</w:t>
      </w:r>
      <w:r w:rsidR="00FC3AB2">
        <w:t xml:space="preserve">, </w:t>
      </w:r>
      <w:r w:rsidR="00D84D4B">
        <w:t>creative force</w:t>
      </w:r>
      <w:r w:rsidR="00FC3AB2">
        <w:t xml:space="preserve">. The focus </w:t>
      </w:r>
      <w:r>
        <w:t xml:space="preserve">is </w:t>
      </w:r>
      <w:r w:rsidR="00FC3AB2">
        <w:t xml:space="preserve">on </w:t>
      </w:r>
      <w:r w:rsidR="00D84D4B">
        <w:t xml:space="preserve">building </w:t>
      </w:r>
      <w:r w:rsidR="00FC3AB2">
        <w:t xml:space="preserve">staff and student </w:t>
      </w:r>
      <w:r w:rsidR="00D84D4B">
        <w:t>digital competenc</w:t>
      </w:r>
      <w:r w:rsidR="00FC3AB2">
        <w:t>ies</w:t>
      </w:r>
      <w:r w:rsidR="00D84D4B">
        <w:t>.</w:t>
      </w:r>
      <w:r w:rsidR="00FC3AB2">
        <w:t xml:space="preserve"> The main risk is </w:t>
      </w:r>
      <w:r w:rsidR="00BF4577">
        <w:t xml:space="preserve">unwittingly </w:t>
      </w:r>
      <w:r w:rsidR="00FC3AB2">
        <w:t xml:space="preserve">embracing </w:t>
      </w:r>
      <w:r w:rsidR="00BF4577">
        <w:t>inaccessible tools</w:t>
      </w:r>
      <w:r w:rsidR="00FC3AB2">
        <w:t xml:space="preserve">, content or activities. </w:t>
      </w:r>
      <w:r w:rsidR="00BF4577">
        <w:t xml:space="preserve">This stage recognises that </w:t>
      </w:r>
      <w:r w:rsidR="00FC3AB2">
        <w:t xml:space="preserve">digital </w:t>
      </w:r>
      <w:r>
        <w:t>competence</w:t>
      </w:r>
      <w:r w:rsidR="00B34837">
        <w:t xml:space="preserve"> </w:t>
      </w:r>
      <w:r w:rsidR="00FC3AB2">
        <w:t>help</w:t>
      </w:r>
      <w:r>
        <w:t>s</w:t>
      </w:r>
      <w:r w:rsidR="00FC3AB2">
        <w:t xml:space="preserve"> </w:t>
      </w:r>
      <w:r>
        <w:t xml:space="preserve">to </w:t>
      </w:r>
      <w:r w:rsidR="00FC3AB2">
        <w:t>creat</w:t>
      </w:r>
      <w:r>
        <w:t>e</w:t>
      </w:r>
      <w:r w:rsidR="00FC3AB2">
        <w:t xml:space="preserve"> </w:t>
      </w:r>
      <w:r w:rsidR="00B34837">
        <w:t xml:space="preserve">accessible </w:t>
      </w:r>
      <w:r>
        <w:t>content and mitigate less accessible experiences</w:t>
      </w:r>
      <w:r w:rsidR="00B34837">
        <w:t xml:space="preserve">. </w:t>
      </w:r>
      <w:r w:rsidR="00BF4577">
        <w:t xml:space="preserve">There are </w:t>
      </w:r>
      <w:r>
        <w:t xml:space="preserve">probably </w:t>
      </w:r>
      <w:r w:rsidR="00B34837">
        <w:t>good links between teaching</w:t>
      </w:r>
      <w:r>
        <w:t>/</w:t>
      </w:r>
      <w:r w:rsidR="00B34837">
        <w:t xml:space="preserve">learning policies, e-learning and student support / disability policies. </w:t>
      </w:r>
      <w:r w:rsidR="00D12345">
        <w:t xml:space="preserve">Increased confidence allows organisations to </w:t>
      </w:r>
      <w:r w:rsidR="00BF4577">
        <w:t>recognis</w:t>
      </w:r>
      <w:r>
        <w:t>e</w:t>
      </w:r>
      <w:r w:rsidR="00BF4577">
        <w:t xml:space="preserve"> that </w:t>
      </w:r>
      <w:r w:rsidR="00B34837">
        <w:t>partially accessible resources</w:t>
      </w:r>
      <w:r w:rsidR="00BF4577">
        <w:t xml:space="preserve"> may have a role to play</w:t>
      </w:r>
      <w:r w:rsidR="00B34837">
        <w:t xml:space="preserve">. </w:t>
      </w:r>
      <w:r w:rsidR="00D12345">
        <w:t>Digital a</w:t>
      </w:r>
      <w:r w:rsidR="00B34837">
        <w:t xml:space="preserve">ccessibility </w:t>
      </w:r>
      <w:r w:rsidR="00D12345">
        <w:t xml:space="preserve">is </w:t>
      </w:r>
      <w:r w:rsidR="00BF4577">
        <w:t xml:space="preserve">a </w:t>
      </w:r>
      <w:r w:rsidR="00B34837">
        <w:t xml:space="preserve">cross institutional </w:t>
      </w:r>
      <w:r w:rsidR="00BF4577">
        <w:t>responsibility</w:t>
      </w:r>
      <w:r w:rsidR="00B34837">
        <w:t>.</w:t>
      </w:r>
    </w:p>
    <w:p w14:paraId="4CF013FD" w14:textId="4FFD7CF0" w:rsidR="00C3330E" w:rsidRPr="00C3330E" w:rsidRDefault="00017ABA" w:rsidP="00281B1D">
      <w:pPr>
        <w:pStyle w:val="Heading4"/>
      </w:pPr>
      <w:r>
        <w:t xml:space="preserve">How </w:t>
      </w:r>
      <w:r w:rsidR="05500F74">
        <w:t>to move</w:t>
      </w:r>
      <w:r w:rsidR="00C3330E">
        <w:t xml:space="preserve"> from Level 4</w:t>
      </w:r>
    </w:p>
    <w:p w14:paraId="74CD2011" w14:textId="44720BC5" w:rsidR="00C3330E" w:rsidRDefault="00C3330E" w:rsidP="00C3330E">
      <w:r>
        <w:t xml:space="preserve">This is about </w:t>
      </w:r>
      <w:r w:rsidRPr="421F9EC7">
        <w:rPr>
          <w:b/>
          <w:bCs/>
        </w:rPr>
        <w:t>sustainability</w:t>
      </w:r>
      <w:r>
        <w:t xml:space="preserve">, </w:t>
      </w:r>
      <w:r w:rsidR="00A75442">
        <w:t xml:space="preserve">understanding the student </w:t>
      </w:r>
      <w:r>
        <w:t>digital experience and</w:t>
      </w:r>
      <w:r w:rsidR="00A75442">
        <w:t xml:space="preserve"> embedding institutional </w:t>
      </w:r>
      <w:r>
        <w:t xml:space="preserve">quality assurance. </w:t>
      </w:r>
    </w:p>
    <w:p w14:paraId="1BF70A82" w14:textId="14EDD51D" w:rsidR="00C3330E" w:rsidRDefault="00C3330E" w:rsidP="421F9EC7"/>
    <w:p w14:paraId="602B6930" w14:textId="77777777" w:rsidR="00B34837" w:rsidRDefault="00BF4577" w:rsidP="007C59A3">
      <w:pPr>
        <w:pStyle w:val="Heading3"/>
      </w:pPr>
      <w:r>
        <w:t xml:space="preserve">Level </w:t>
      </w:r>
      <w:r w:rsidR="000A5C1C">
        <w:t>5</w:t>
      </w:r>
      <w:r>
        <w:t xml:space="preserve"> - Partnership</w:t>
      </w:r>
    </w:p>
    <w:p w14:paraId="7C6F428E" w14:textId="2DB7C57B" w:rsidR="00B34837" w:rsidRDefault="00BF4577" w:rsidP="00B34837">
      <w:pPr>
        <w:rPr>
          <w:szCs w:val="20"/>
        </w:rPr>
      </w:pPr>
      <w:r>
        <w:t xml:space="preserve">This final level in the model recognises the value of students as co-designers of learning. </w:t>
      </w:r>
      <w:r w:rsidR="006165B2">
        <w:t>I</w:t>
      </w:r>
      <w:r>
        <w:t>nvolving disabled students in the policies</w:t>
      </w:r>
      <w:r w:rsidR="00084069">
        <w:t>/</w:t>
      </w:r>
      <w:r>
        <w:t xml:space="preserve">processes that impact on </w:t>
      </w:r>
      <w:r w:rsidR="00A75442">
        <w:t>them</w:t>
      </w:r>
      <w:r w:rsidR="006165B2">
        <w:t xml:space="preserve"> reduces </w:t>
      </w:r>
      <w:r>
        <w:t xml:space="preserve">the chances of failure (and litigation). </w:t>
      </w:r>
      <w:r w:rsidR="00A75442">
        <w:t>C</w:t>
      </w:r>
      <w:r>
        <w:t xml:space="preserve">ompromises are easier to </w:t>
      </w:r>
      <w:r w:rsidR="00D12345">
        <w:t xml:space="preserve">justify when disabled students </w:t>
      </w:r>
      <w:r w:rsidR="00A75442">
        <w:t xml:space="preserve">helped </w:t>
      </w:r>
      <w:r w:rsidR="00DE102A">
        <w:t>make them</w:t>
      </w:r>
      <w:r w:rsidR="00D12345">
        <w:t xml:space="preserve">. </w:t>
      </w:r>
      <w:r w:rsidR="00084069">
        <w:t xml:space="preserve">All staff recognise their role </w:t>
      </w:r>
      <w:r w:rsidR="00B34837">
        <w:t>in reducing barriers</w:t>
      </w:r>
      <w:r w:rsidR="00DE102A">
        <w:t>. C</w:t>
      </w:r>
      <w:r w:rsidR="00A75442">
        <w:t xml:space="preserve">reative engagement is the norm. </w:t>
      </w:r>
      <w:r w:rsidR="00D12345">
        <w:t xml:space="preserve">Accessibility awareness </w:t>
      </w:r>
      <w:r w:rsidR="00B34837">
        <w:t>is distributed</w:t>
      </w:r>
      <w:r w:rsidR="00D12345">
        <w:t xml:space="preserve">, sustainable, embedded into quality assurance processes </w:t>
      </w:r>
      <w:r w:rsidR="00B34837">
        <w:t>and perceivable in all policy areas.</w:t>
      </w:r>
    </w:p>
    <w:p w14:paraId="19A1A26F" w14:textId="20695BA0" w:rsidR="00A75442" w:rsidRPr="00C3330E" w:rsidRDefault="00017ABA" w:rsidP="00281B1D">
      <w:pPr>
        <w:pStyle w:val="Heading4"/>
      </w:pPr>
      <w:r>
        <w:t>How we</w:t>
      </w:r>
      <w:r w:rsidR="00A75442">
        <w:t xml:space="preserve"> help you at Level 5</w:t>
      </w:r>
    </w:p>
    <w:p w14:paraId="6F923E31" w14:textId="3AFD1AC1" w:rsidR="00084069" w:rsidRPr="00CE7BD6" w:rsidRDefault="009379F0" w:rsidP="00FB7EE6">
      <w:r>
        <w:t xml:space="preserve">This is about </w:t>
      </w:r>
      <w:r w:rsidR="00E736EB">
        <w:t xml:space="preserve">effective </w:t>
      </w:r>
      <w:r w:rsidR="00166C58" w:rsidRPr="421F9EC7">
        <w:rPr>
          <w:b/>
          <w:bCs/>
        </w:rPr>
        <w:t>communication</w:t>
      </w:r>
      <w:r w:rsidR="00CE7BD6">
        <w:t xml:space="preserve"> </w:t>
      </w:r>
      <w:r w:rsidR="00E736EB">
        <w:t xml:space="preserve">of your good practices to </w:t>
      </w:r>
      <w:r w:rsidR="00CE7BD6">
        <w:t>staff</w:t>
      </w:r>
      <w:r w:rsidR="00E736EB">
        <w:t>,</w:t>
      </w:r>
      <w:r w:rsidR="00CE7BD6">
        <w:t xml:space="preserve"> </w:t>
      </w:r>
      <w:r w:rsidR="00E736EB">
        <w:t>students and the wi</w:t>
      </w:r>
      <w:r w:rsidR="00935606">
        <w:t>der community</w:t>
      </w:r>
      <w:r w:rsidR="00CE7BD6">
        <w:t xml:space="preserve">. </w:t>
      </w:r>
    </w:p>
    <w:p w14:paraId="7BCA03CB" w14:textId="10008A25" w:rsidR="00CE7BD6" w:rsidRDefault="00CE7BD6" w:rsidP="00636339"/>
    <w:p w14:paraId="7FC0699B" w14:textId="77777777" w:rsidR="00CE7BD6" w:rsidRDefault="00CE7BD6" w:rsidP="00636339"/>
    <w:p w14:paraId="651B2FD9" w14:textId="0A2DBEF5" w:rsidR="00CE7BD6" w:rsidRDefault="00CE7BD6" w:rsidP="00CE7BD6">
      <w:pPr>
        <w:pStyle w:val="Heading2"/>
      </w:pPr>
      <w:r>
        <w:lastRenderedPageBreak/>
        <w:t>What do I do next?</w:t>
      </w:r>
    </w:p>
    <w:p w14:paraId="2A8DFC7B" w14:textId="059881FB" w:rsidR="11734E7A" w:rsidRDefault="11734E7A" w:rsidP="11734E7A"/>
    <w:p w14:paraId="134AC6AB" w14:textId="1601D96C" w:rsidR="25C18191" w:rsidRDefault="25C18191" w:rsidP="007C59A3">
      <w:pPr>
        <w:pStyle w:val="Heading3"/>
      </w:pPr>
      <w:r>
        <w:t>Build your community and resources</w:t>
      </w:r>
    </w:p>
    <w:p w14:paraId="34498F99" w14:textId="669E0C41" w:rsidR="3C37461A" w:rsidRDefault="3C37461A" w:rsidP="11734E7A">
      <w:pPr>
        <w:pStyle w:val="Heading4"/>
      </w:pPr>
      <w:proofErr w:type="spellStart"/>
      <w:r>
        <w:t>Self access</w:t>
      </w:r>
      <w:proofErr w:type="spellEnd"/>
      <w:r>
        <w:t xml:space="preserve"> / DIY</w:t>
      </w:r>
    </w:p>
    <w:p w14:paraId="0DFC18FC" w14:textId="29CB8303" w:rsidR="11734E7A" w:rsidRDefault="3C37461A" w:rsidP="69C2403F">
      <w:pPr>
        <w:rPr>
          <w:rFonts w:eastAsia="Arial" w:cs="Arial"/>
        </w:rPr>
      </w:pPr>
      <w:r>
        <w:t xml:space="preserve">Subscribe to the </w:t>
      </w:r>
      <w:hyperlink r:id="rId10">
        <w:r w:rsidRPr="69C2403F">
          <w:rPr>
            <w:rStyle w:val="Hyperlink"/>
          </w:rPr>
          <w:t xml:space="preserve">Digital Accessibility Regulations </w:t>
        </w:r>
        <w:proofErr w:type="spellStart"/>
        <w:r w:rsidRPr="69C2403F">
          <w:rPr>
            <w:rStyle w:val="Hyperlink"/>
          </w:rPr>
          <w:t>Jiscmail</w:t>
        </w:r>
        <w:proofErr w:type="spellEnd"/>
        <w:r w:rsidRPr="69C2403F">
          <w:rPr>
            <w:rStyle w:val="Hyperlink"/>
          </w:rPr>
          <w:t xml:space="preserve"> list.</w:t>
        </w:r>
      </w:hyperlink>
      <w:r>
        <w:t xml:space="preserve"> Explore the </w:t>
      </w:r>
      <w:hyperlink r:id="rId11">
        <w:r w:rsidRPr="69C2403F">
          <w:rPr>
            <w:rStyle w:val="Hyperlink"/>
          </w:rPr>
          <w:t>LexDis Accessibility toolkit</w:t>
        </w:r>
      </w:hyperlink>
      <w:r>
        <w:t>.</w:t>
      </w:r>
      <w:r w:rsidR="00AF354A">
        <w:t xml:space="preserve"> Join the </w:t>
      </w:r>
      <w:hyperlink r:id="rId12" w:history="1">
        <w:r w:rsidR="00AF354A" w:rsidRPr="00AF354A">
          <w:rPr>
            <w:rStyle w:val="Hyperlink"/>
          </w:rPr>
          <w:t>Jisc Accessibility Teams</w:t>
        </w:r>
      </w:hyperlink>
      <w:r w:rsidR="00AF354A">
        <w:t xml:space="preserve"> site. </w:t>
      </w:r>
    </w:p>
    <w:p w14:paraId="18037DE5" w14:textId="10F8F64C" w:rsidR="003C14F1" w:rsidRDefault="3C37461A" w:rsidP="11734E7A">
      <w:pPr>
        <w:pStyle w:val="Heading4"/>
      </w:pPr>
      <w:r>
        <w:t>Supported  services</w:t>
      </w:r>
    </w:p>
    <w:p w14:paraId="3C17538C" w14:textId="7B78A5FB" w:rsidR="00E850E6" w:rsidRDefault="00E850E6" w:rsidP="00E850E6">
      <w:pPr>
        <w:rPr>
          <w:rFonts w:eastAsia="Arial"/>
        </w:rPr>
      </w:pPr>
      <w:r w:rsidRPr="0071297E">
        <w:rPr>
          <w:rFonts w:eastAsia="Arial" w:cs="Arial"/>
          <w:color w:val="000000" w:themeColor="text1"/>
          <w:szCs w:val="20"/>
        </w:rPr>
        <w:t xml:space="preserve">Sign up </w:t>
      </w:r>
      <w:hyperlink r:id="rId13" w:history="1">
        <w:r w:rsidRPr="0071297E">
          <w:rPr>
            <w:rStyle w:val="Hyperlink"/>
            <w:szCs w:val="20"/>
          </w:rPr>
          <w:t xml:space="preserve"> for our newsletter and webinars</w:t>
        </w:r>
      </w:hyperlink>
      <w:r w:rsidRPr="1D087441">
        <w:rPr>
          <w:rFonts w:eastAsia="Arial" w:cs="Arial"/>
          <w:color w:val="000000" w:themeColor="text1"/>
          <w:sz w:val="22"/>
          <w:szCs w:val="22"/>
        </w:rPr>
        <w:t xml:space="preserve">. </w:t>
      </w:r>
      <w:r>
        <w:t xml:space="preserve">Purchase </w:t>
      </w:r>
      <w:hyperlink r:id="rId14" w:history="1">
        <w:r>
          <w:rPr>
            <w:rStyle w:val="Hyperlink"/>
          </w:rPr>
          <w:t>our accessible component library and accessibility guidelines</w:t>
        </w:r>
      </w:hyperlink>
      <w:r>
        <w:t xml:space="preserve">  </w:t>
      </w:r>
    </w:p>
    <w:p w14:paraId="58D0A51E" w14:textId="2E369ED4" w:rsidR="7A022273" w:rsidRDefault="7A022273" w:rsidP="11734E7A"/>
    <w:p w14:paraId="4C9FFF91" w14:textId="77777777" w:rsidR="7A022273" w:rsidRDefault="3C37461A" w:rsidP="007C59A3">
      <w:pPr>
        <w:pStyle w:val="Heading3"/>
      </w:pPr>
      <w:r w:rsidRPr="11734E7A">
        <w:t>Planning and prioritisation activities</w:t>
      </w:r>
    </w:p>
    <w:p w14:paraId="2B54A90F" w14:textId="669E0C41" w:rsidR="7A022273" w:rsidRDefault="3C37461A" w:rsidP="11734E7A">
      <w:pPr>
        <w:pStyle w:val="Heading4"/>
      </w:pPr>
      <w:proofErr w:type="spellStart"/>
      <w:r>
        <w:t>Self access</w:t>
      </w:r>
      <w:proofErr w:type="spellEnd"/>
      <w:r>
        <w:t xml:space="preserve"> / DIY</w:t>
      </w:r>
    </w:p>
    <w:p w14:paraId="7E1DAC82" w14:textId="66F87F20" w:rsidR="7A022273" w:rsidRDefault="3C37461A" w:rsidP="7A022273">
      <w:r>
        <w:t>Identify stakeholders and form working group.</w:t>
      </w:r>
      <w:r w:rsidR="00A32BFA">
        <w:t xml:space="preserve"> </w:t>
      </w:r>
      <w:r>
        <w:t xml:space="preserve">Collate all sites in scope/project plan. Identify strengths and development areas with self-serve maturity model. </w:t>
      </w:r>
    </w:p>
    <w:p w14:paraId="755287E8" w14:textId="10F8F64C" w:rsidR="7A022273" w:rsidRDefault="3C37461A" w:rsidP="11734E7A">
      <w:pPr>
        <w:pStyle w:val="Heading4"/>
      </w:pPr>
      <w:r>
        <w:t>Supported  services</w:t>
      </w:r>
    </w:p>
    <w:p w14:paraId="003CEDFE" w14:textId="4A136242" w:rsidR="7A022273" w:rsidRDefault="00E63574" w:rsidP="7A022273">
      <w:hyperlink r:id="rId15" w:history="1">
        <w:r w:rsidR="009C4153">
          <w:rPr>
            <w:rStyle w:val="Hyperlink"/>
          </w:rPr>
          <w:t xml:space="preserve">Guided maturity model planning session </w:t>
        </w:r>
      </w:hyperlink>
      <w:r w:rsidR="3C37461A">
        <w:t xml:space="preserve">and report. Accessibility </w:t>
      </w:r>
      <w:r w:rsidR="005F7F8D">
        <w:t>statement m</w:t>
      </w:r>
      <w:r w:rsidR="3C37461A">
        <w:t xml:space="preserve">apper service. </w:t>
      </w:r>
      <w:hyperlink r:id="rId16" w:history="1">
        <w:r w:rsidR="00977560">
          <w:rPr>
            <w:rStyle w:val="Hyperlink"/>
          </w:rPr>
          <w:t>Digital accessibility consultancy</w:t>
        </w:r>
      </w:hyperlink>
      <w:r w:rsidR="00A43D60">
        <w:t>,</w:t>
      </w:r>
      <w:r w:rsidR="00A709D6">
        <w:t xml:space="preserve"> </w:t>
      </w:r>
      <w:hyperlink r:id="rId17" w:anchor="page1" w:history="1">
        <w:r w:rsidR="00A709D6" w:rsidRPr="00725A16">
          <w:rPr>
            <w:rStyle w:val="Hyperlink"/>
          </w:rPr>
          <w:t>McNaught mentoring</w:t>
        </w:r>
      </w:hyperlink>
      <w:r w:rsidR="00A709D6">
        <w:t xml:space="preserve"> services.</w:t>
      </w:r>
    </w:p>
    <w:p w14:paraId="2822B63E" w14:textId="58B3139D" w:rsidR="11734E7A" w:rsidRDefault="11734E7A" w:rsidP="11734E7A"/>
    <w:p w14:paraId="71509BEE" w14:textId="7C10A3FF" w:rsidR="3C37461A" w:rsidRDefault="3C37461A" w:rsidP="007C59A3">
      <w:pPr>
        <w:pStyle w:val="Heading3"/>
      </w:pPr>
      <w:r w:rsidRPr="28A5476B">
        <w:t>Benchmarking and auditing</w:t>
      </w:r>
    </w:p>
    <w:p w14:paraId="741E4E67" w14:textId="669E0C41" w:rsidR="0056679F" w:rsidRDefault="3C37461A" w:rsidP="28A5476B">
      <w:pPr>
        <w:pStyle w:val="Heading4"/>
      </w:pPr>
      <w:proofErr w:type="spellStart"/>
      <w:r>
        <w:t>Self access</w:t>
      </w:r>
      <w:proofErr w:type="spellEnd"/>
      <w:r>
        <w:t xml:space="preserve"> / DIY</w:t>
      </w:r>
    </w:p>
    <w:p w14:paraId="3F1B2852" w14:textId="1184CBED" w:rsidR="0056679F" w:rsidRDefault="3C37461A" w:rsidP="28A5476B">
      <w:r>
        <w:t>Conduct automated and manual testing on your sites</w:t>
      </w:r>
      <w:r w:rsidR="000A0DD9">
        <w:t xml:space="preserve"> with </w:t>
      </w:r>
      <w:hyperlink r:id="rId18" w:history="1">
        <w:r w:rsidR="000A0DD9" w:rsidRPr="003D3C79">
          <w:rPr>
            <w:rStyle w:val="Hyperlink"/>
          </w:rPr>
          <w:t>WAVE</w:t>
        </w:r>
      </w:hyperlink>
      <w:r w:rsidR="003D3C79">
        <w:t xml:space="preserve"> tool or</w:t>
      </w:r>
      <w:r w:rsidR="000A0DD9">
        <w:t xml:space="preserve"> </w:t>
      </w:r>
      <w:hyperlink r:id="rId19" w:history="1">
        <w:r w:rsidR="000A0DD9" w:rsidRPr="000A5299">
          <w:rPr>
            <w:rStyle w:val="Hyperlink"/>
          </w:rPr>
          <w:t>Accessibility Insights</w:t>
        </w:r>
      </w:hyperlink>
      <w:r w:rsidR="000A0DD9">
        <w:t xml:space="preserve"> etc</w:t>
      </w:r>
      <w:r>
        <w:t xml:space="preserve">. Evaluate accessibility of </w:t>
      </w:r>
      <w:r w:rsidR="000A5299">
        <w:t xml:space="preserve">Word </w:t>
      </w:r>
      <w:r>
        <w:t>documents</w:t>
      </w:r>
      <w:r w:rsidR="000A5299">
        <w:t xml:space="preserve"> and PDFs</w:t>
      </w:r>
      <w:r>
        <w:t>.</w:t>
      </w:r>
      <w:r w:rsidR="000A5299">
        <w:t xml:space="preserve"> </w:t>
      </w:r>
      <w:r>
        <w:t>Map student journeys / pain points</w:t>
      </w:r>
      <w:r w:rsidR="000A5299">
        <w:t xml:space="preserve"> in your digital estate</w:t>
      </w:r>
      <w:r>
        <w:t xml:space="preserve">. </w:t>
      </w:r>
    </w:p>
    <w:p w14:paraId="21E7A85E" w14:textId="10F8F64C" w:rsidR="0056679F" w:rsidRDefault="3C37461A" w:rsidP="28A5476B">
      <w:pPr>
        <w:pStyle w:val="Heading4"/>
      </w:pPr>
      <w:r>
        <w:t>Supported  services</w:t>
      </w:r>
    </w:p>
    <w:p w14:paraId="2C63D146" w14:textId="4FEBEFF7" w:rsidR="0056679F" w:rsidRDefault="3C37461A" w:rsidP="28A5476B">
      <w:r>
        <w:t xml:space="preserve">Use our </w:t>
      </w:r>
      <w:hyperlink r:id="rId20" w:history="1">
        <w:r w:rsidR="00746960" w:rsidRPr="00746960">
          <w:rPr>
            <w:rStyle w:val="Hyperlink"/>
          </w:rPr>
          <w:t xml:space="preserve">HE/FE Digital </w:t>
        </w:r>
        <w:r w:rsidRPr="00746960">
          <w:rPr>
            <w:rStyle w:val="Hyperlink"/>
          </w:rPr>
          <w:t>Accessibility bundle</w:t>
        </w:r>
      </w:hyperlink>
      <w:r>
        <w:t xml:space="preserve"> of services to create a benchmark of accessibility and roadmap for inclusive journeys. </w:t>
      </w:r>
      <w:r w:rsidR="008265B6">
        <w:t>Procure</w:t>
      </w:r>
      <w:r w:rsidR="00F40101">
        <w:t xml:space="preserve"> </w:t>
      </w:r>
      <w:hyperlink r:id="rId21" w:history="1">
        <w:r w:rsidR="00F40101">
          <w:rPr>
            <w:rStyle w:val="Hyperlink"/>
          </w:rPr>
          <w:t>our automated &amp; manual testing services and website accreditation service.</w:t>
        </w:r>
      </w:hyperlink>
    </w:p>
    <w:p w14:paraId="5D2FE28B" w14:textId="731F09C1" w:rsidR="004C166A" w:rsidRDefault="004C166A" w:rsidP="28A5476B"/>
    <w:p w14:paraId="53C23B79" w14:textId="2A303A17" w:rsidR="004C166A" w:rsidRDefault="3C37461A" w:rsidP="007C59A3">
      <w:pPr>
        <w:pStyle w:val="Heading3"/>
      </w:pPr>
      <w:r>
        <w:t>Team training and skills development</w:t>
      </w:r>
    </w:p>
    <w:p w14:paraId="7FAD5C45" w14:textId="669E0C41" w:rsidR="004C166A" w:rsidRDefault="3C37461A" w:rsidP="28A5476B">
      <w:pPr>
        <w:pStyle w:val="Heading4"/>
      </w:pPr>
      <w:proofErr w:type="spellStart"/>
      <w:r>
        <w:t>Self access</w:t>
      </w:r>
      <w:proofErr w:type="spellEnd"/>
      <w:r>
        <w:t xml:space="preserve"> / DIY</w:t>
      </w:r>
    </w:p>
    <w:p w14:paraId="28C0C960" w14:textId="4A2DA97C" w:rsidR="004C166A" w:rsidRDefault="00E63574" w:rsidP="28A5476B">
      <w:pPr>
        <w:spacing w:line="259" w:lineRule="auto"/>
      </w:pPr>
      <w:hyperlink r:id="rId22" w:anchor="home">
        <w:r w:rsidR="3C37461A" w:rsidRPr="28A5476B">
          <w:rPr>
            <w:rStyle w:val="Hyperlink"/>
          </w:rPr>
          <w:t>Future Teacher resources</w:t>
        </w:r>
      </w:hyperlink>
      <w:r w:rsidR="3C37461A">
        <w:t>. E</w:t>
      </w:r>
      <w:r w:rsidR="002B5F21">
        <w:t>TF</w:t>
      </w:r>
      <w:r w:rsidR="3C37461A">
        <w:t xml:space="preserve"> ENHANCE </w:t>
      </w:r>
      <w:proofErr w:type="spellStart"/>
      <w:r w:rsidR="3C37461A">
        <w:t>modues</w:t>
      </w:r>
      <w:proofErr w:type="spellEnd"/>
      <w:r w:rsidR="6D95BD38">
        <w:t xml:space="preserve"> on </w:t>
      </w:r>
      <w:hyperlink r:id="rId23">
        <w:r w:rsidR="6D95BD38" w:rsidRPr="28A5476B">
          <w:rPr>
            <w:rStyle w:val="Hyperlink"/>
          </w:rPr>
          <w:t>Accessibility</w:t>
        </w:r>
      </w:hyperlink>
      <w:r w:rsidR="6D95BD38">
        <w:t xml:space="preserve"> and </w:t>
      </w:r>
      <w:hyperlink r:id="rId24">
        <w:r w:rsidR="6D95BD38" w:rsidRPr="28A5476B">
          <w:rPr>
            <w:rStyle w:val="Hyperlink"/>
          </w:rPr>
          <w:t>Difference and diversity</w:t>
        </w:r>
      </w:hyperlink>
      <w:r w:rsidR="3C37461A">
        <w:t xml:space="preserve">. AbilityNet free webinar services. </w:t>
      </w:r>
    </w:p>
    <w:p w14:paraId="657CDD7B" w14:textId="10F8F64C" w:rsidR="004C166A" w:rsidRDefault="3C37461A" w:rsidP="28A5476B">
      <w:pPr>
        <w:pStyle w:val="Heading4"/>
      </w:pPr>
      <w:r>
        <w:t>Supported  services</w:t>
      </w:r>
    </w:p>
    <w:p w14:paraId="51F79F46" w14:textId="38B8DFE3" w:rsidR="004C166A" w:rsidRDefault="0B54C98F" w:rsidP="00190EBF">
      <w:r>
        <w:t xml:space="preserve">Per seat training courses. 1-1 / group mentoring sessions. </w:t>
      </w:r>
      <w:hyperlink r:id="rId25" w:anchor="page1">
        <w:r w:rsidRPr="28A5476B">
          <w:rPr>
            <w:rStyle w:val="Hyperlink"/>
          </w:rPr>
          <w:t>McNaught bespoke training courses</w:t>
        </w:r>
      </w:hyperlink>
      <w:r>
        <w:t xml:space="preserve"> (inclusive practice; inclusive policies; student support services</w:t>
      </w:r>
      <w:r w:rsidR="013A0DC9">
        <w:t>)</w:t>
      </w:r>
      <w:r>
        <w:t xml:space="preserve">. </w:t>
      </w:r>
      <w:r w:rsidR="0073051C">
        <w:t xml:space="preserve">Enquire about </w:t>
      </w:r>
      <w:hyperlink r:id="rId26" w:history="1">
        <w:r w:rsidR="0073051C">
          <w:rPr>
            <w:rStyle w:val="Hyperlink"/>
          </w:rPr>
          <w:t>AbilityNet bespoke training courses</w:t>
        </w:r>
      </w:hyperlink>
      <w:r w:rsidR="0073051C">
        <w:t xml:space="preserve"> </w:t>
      </w:r>
      <w:r w:rsidR="00F40018">
        <w:t>(technical and lived experience of disability)</w:t>
      </w:r>
    </w:p>
    <w:p w14:paraId="7E77BF33" w14:textId="0DEF52BD" w:rsidR="00CE7BD6" w:rsidRDefault="00CE7BD6" w:rsidP="28A5476B"/>
    <w:p w14:paraId="20749D6F" w14:textId="651B3E9E" w:rsidR="00CE7BD6" w:rsidRDefault="3617F475" w:rsidP="007C59A3">
      <w:pPr>
        <w:pStyle w:val="Heading3"/>
      </w:pPr>
      <w:r>
        <w:t>Student self-help tools</w:t>
      </w:r>
    </w:p>
    <w:p w14:paraId="3BE0F964" w14:textId="669E0C41" w:rsidR="00CE7BD6" w:rsidRDefault="3617F475" w:rsidP="28A5476B">
      <w:pPr>
        <w:pStyle w:val="Heading4"/>
      </w:pPr>
      <w:proofErr w:type="spellStart"/>
      <w:r>
        <w:t>Self access</w:t>
      </w:r>
      <w:proofErr w:type="spellEnd"/>
      <w:r>
        <w:t xml:space="preserve"> / DIY</w:t>
      </w:r>
    </w:p>
    <w:p w14:paraId="47D6E174" w14:textId="418B1C3D" w:rsidR="00CE7BD6" w:rsidRDefault="00DE45AE" w:rsidP="00CE7BD6">
      <w:r>
        <w:t xml:space="preserve">Link </w:t>
      </w:r>
      <w:r w:rsidR="007F358B">
        <w:t xml:space="preserve">from your site </w:t>
      </w:r>
      <w:r>
        <w:t xml:space="preserve">to </w:t>
      </w:r>
      <w:hyperlink r:id="rId27" w:history="1">
        <w:r>
          <w:rPr>
            <w:rStyle w:val="Hyperlink"/>
          </w:rPr>
          <w:t>My Study My Way on demand</w:t>
        </w:r>
      </w:hyperlink>
      <w:r w:rsidR="007D1880">
        <w:rPr>
          <w:rStyle w:val="Hyperlink"/>
        </w:rPr>
        <w:t>,</w:t>
      </w:r>
      <w:r w:rsidR="00183150">
        <w:t xml:space="preserve">  </w:t>
      </w:r>
      <w:hyperlink r:id="rId28" w:history="1">
        <w:r w:rsidR="00183150">
          <w:rPr>
            <w:rStyle w:val="Hyperlink"/>
          </w:rPr>
          <w:t>My Computer My Way</w:t>
        </w:r>
      </w:hyperlink>
      <w:r w:rsidR="00DF4FDA">
        <w:rPr>
          <w:rStyle w:val="Hyperlink"/>
        </w:rPr>
        <w:t xml:space="preserve"> </w:t>
      </w:r>
      <w:r w:rsidR="00183150">
        <w:t xml:space="preserve"> </w:t>
      </w:r>
      <w:r w:rsidR="007F358B">
        <w:t xml:space="preserve">and </w:t>
      </w:r>
      <w:r w:rsidR="007D1880">
        <w:t xml:space="preserve">our range of </w:t>
      </w:r>
      <w:hyperlink r:id="rId29" w:history="1">
        <w:r w:rsidR="00F60969">
          <w:rPr>
            <w:rStyle w:val="Hyperlink"/>
          </w:rPr>
          <w:t>factsheets</w:t>
        </w:r>
      </w:hyperlink>
      <w:r w:rsidR="00F60969">
        <w:t xml:space="preserve"> </w:t>
      </w:r>
      <w:r w:rsidR="3617F475">
        <w:t>.</w:t>
      </w:r>
      <w:r w:rsidR="5A491627">
        <w:t xml:space="preserve"> </w:t>
      </w:r>
      <w:hyperlink r:id="rId30">
        <w:r w:rsidR="5A491627" w:rsidRPr="28A5476B">
          <w:rPr>
            <w:rStyle w:val="Hyperlink"/>
          </w:rPr>
          <w:t>LexDis strategies</w:t>
        </w:r>
      </w:hyperlink>
      <w:r w:rsidR="5A491627">
        <w:t xml:space="preserve">. </w:t>
      </w:r>
      <w:r w:rsidR="003C4DD4">
        <w:t xml:space="preserve">University of Kent </w:t>
      </w:r>
      <w:hyperlink r:id="rId31" w:history="1">
        <w:r w:rsidR="003C4DD4" w:rsidRPr="007F5F56">
          <w:rPr>
            <w:rStyle w:val="Hyperlink"/>
          </w:rPr>
          <w:t>Tools collection</w:t>
        </w:r>
      </w:hyperlink>
      <w:r w:rsidR="003C4DD4">
        <w:t>.</w:t>
      </w:r>
    </w:p>
    <w:p w14:paraId="19CB41FF" w14:textId="10F8F64C" w:rsidR="00CE7BD6" w:rsidRDefault="3617F475" w:rsidP="28A5476B">
      <w:pPr>
        <w:pStyle w:val="Heading4"/>
      </w:pPr>
      <w:r>
        <w:t>Supported  services</w:t>
      </w:r>
    </w:p>
    <w:p w14:paraId="4DC272CA" w14:textId="6444B5BB" w:rsidR="005B18FA" w:rsidRDefault="00B230A2" w:rsidP="005B18FA">
      <w:r>
        <w:t xml:space="preserve">Institution specific </w:t>
      </w:r>
      <w:hyperlink r:id="rId32" w:history="1">
        <w:r>
          <w:rPr>
            <w:rStyle w:val="Hyperlink"/>
          </w:rPr>
          <w:t>My Study My Way</w:t>
        </w:r>
      </w:hyperlink>
      <w:r w:rsidR="005B18FA">
        <w:t xml:space="preserve">. Branded </w:t>
      </w:r>
      <w:hyperlink r:id="rId33" w:history="1">
        <w:r w:rsidR="005B18FA">
          <w:rPr>
            <w:rStyle w:val="Hyperlink"/>
          </w:rPr>
          <w:t>My Computer My Way</w:t>
        </w:r>
      </w:hyperlink>
      <w:r w:rsidR="005B18FA">
        <w:t xml:space="preserve"> </w:t>
      </w:r>
    </w:p>
    <w:p w14:paraId="17B9AED8" w14:textId="1EE6F3BD" w:rsidR="00CE7BD6" w:rsidRDefault="00CE7BD6" w:rsidP="28A5476B"/>
    <w:p w14:paraId="256247C5" w14:textId="1601C0AF" w:rsidR="00CE7BD6" w:rsidRDefault="7CB26109" w:rsidP="007C59A3">
      <w:pPr>
        <w:pStyle w:val="Heading3"/>
      </w:pPr>
      <w:r>
        <w:t>Culture &amp; strategy</w:t>
      </w:r>
    </w:p>
    <w:p w14:paraId="13B1EAD1" w14:textId="669E0C41" w:rsidR="00CE7BD6" w:rsidRDefault="03DFC352" w:rsidP="28A5476B">
      <w:pPr>
        <w:pStyle w:val="Heading4"/>
      </w:pPr>
      <w:proofErr w:type="spellStart"/>
      <w:r>
        <w:t>Self access</w:t>
      </w:r>
      <w:proofErr w:type="spellEnd"/>
      <w:r>
        <w:t xml:space="preserve"> / DIY</w:t>
      </w:r>
    </w:p>
    <w:p w14:paraId="25E57007" w14:textId="3D53D989" w:rsidR="00CE7BD6" w:rsidRDefault="03DFC352" w:rsidP="00CE7BD6">
      <w:r>
        <w:t>Clear communications and endorsement of accessibility</w:t>
      </w:r>
      <w:r w:rsidR="00B82239">
        <w:t xml:space="preserve">. Whole institution </w:t>
      </w:r>
      <w:r w:rsidR="00780B08">
        <w:t>from senior sponsor to student voice.</w:t>
      </w:r>
    </w:p>
    <w:p w14:paraId="4506647B" w14:textId="10F8F64C" w:rsidR="00CE7BD6" w:rsidRDefault="03DFC352" w:rsidP="28A5476B">
      <w:pPr>
        <w:pStyle w:val="Heading4"/>
      </w:pPr>
      <w:r>
        <w:t>Supported  services</w:t>
      </w:r>
    </w:p>
    <w:p w14:paraId="6ADFBE86" w14:textId="5F96A67B" w:rsidR="00CE7BD6" w:rsidRDefault="03DFC352" w:rsidP="00CE7BD6">
      <w:r>
        <w:t xml:space="preserve">Global Accessibility Awareness days (support and/or content). Accessibility Policy &amp; QA Support. </w:t>
      </w:r>
      <w:hyperlink r:id="rId34" w:history="1">
        <w:r w:rsidR="00267683">
          <w:rPr>
            <w:rStyle w:val="Hyperlink"/>
          </w:rPr>
          <w:t xml:space="preserve">Case Studies </w:t>
        </w:r>
      </w:hyperlink>
      <w:r w:rsidR="00267683">
        <w:t xml:space="preserve">and badging. </w:t>
      </w:r>
      <w:hyperlink r:id="rId35" w:history="1">
        <w:r w:rsidR="0032524C">
          <w:rPr>
            <w:rStyle w:val="Hyperlink"/>
          </w:rPr>
          <w:t xml:space="preserve">Guided maturity model planning session </w:t>
        </w:r>
      </w:hyperlink>
      <w:r w:rsidR="0032524C">
        <w:t xml:space="preserve">and report </w:t>
      </w:r>
    </w:p>
    <w:p w14:paraId="59C9B9A2" w14:textId="73F0BB5B" w:rsidR="00F7124F" w:rsidRDefault="00F7124F" w:rsidP="00FB7EE6"/>
    <w:p w14:paraId="75509A46" w14:textId="3396B242" w:rsidR="00F26640" w:rsidRPr="00FB7EE6" w:rsidRDefault="00F26640" w:rsidP="00FB7EE6">
      <w:r>
        <w:t xml:space="preserve">Contact us at </w:t>
      </w:r>
      <w:hyperlink r:id="rId36" w:history="1">
        <w:r w:rsidR="003D24F3" w:rsidRPr="00E16846">
          <w:rPr>
            <w:rStyle w:val="Hyperlink"/>
          </w:rPr>
          <w:t>enquiries@abilitynet.org.uk</w:t>
        </w:r>
      </w:hyperlink>
      <w:r w:rsidR="003D24F3">
        <w:t xml:space="preserve"> to arrange a 30 minute call to discuss where you are now and </w:t>
      </w:r>
      <w:r w:rsidR="00ED4CDA">
        <w:t xml:space="preserve">the steps you can take to </w:t>
      </w:r>
      <w:r w:rsidR="005F7F8D">
        <w:t xml:space="preserve">move forward. </w:t>
      </w:r>
    </w:p>
    <w:sectPr w:rsidR="00F26640" w:rsidRPr="00FB7EE6" w:rsidSect="00E96AEE">
      <w:headerReference w:type="default" r:id="rId37"/>
      <w:pgSz w:w="11906" w:h="16838"/>
      <w:pgMar w:top="1440" w:right="864" w:bottom="1135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C3CE" w14:textId="77777777" w:rsidR="00E63574" w:rsidRDefault="00E63574" w:rsidP="00763A6A">
      <w:r>
        <w:separator/>
      </w:r>
    </w:p>
  </w:endnote>
  <w:endnote w:type="continuationSeparator" w:id="0">
    <w:p w14:paraId="16D969F7" w14:textId="77777777" w:rsidR="00E63574" w:rsidRDefault="00E63574" w:rsidP="00763A6A">
      <w:r>
        <w:continuationSeparator/>
      </w:r>
    </w:p>
  </w:endnote>
  <w:endnote w:type="continuationNotice" w:id="1">
    <w:p w14:paraId="2932FBA8" w14:textId="77777777" w:rsidR="00E63574" w:rsidRDefault="00E63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F0B7" w14:textId="77777777" w:rsidR="00E63574" w:rsidRDefault="00E63574" w:rsidP="00763A6A">
      <w:r>
        <w:separator/>
      </w:r>
    </w:p>
  </w:footnote>
  <w:footnote w:type="continuationSeparator" w:id="0">
    <w:p w14:paraId="7CC4FD99" w14:textId="77777777" w:rsidR="00E63574" w:rsidRDefault="00E63574" w:rsidP="00763A6A">
      <w:r>
        <w:continuationSeparator/>
      </w:r>
    </w:p>
  </w:footnote>
  <w:footnote w:type="continuationNotice" w:id="1">
    <w:p w14:paraId="718C94C9" w14:textId="77777777" w:rsidR="00E63574" w:rsidRDefault="00E63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E89D" w14:textId="4561A09F" w:rsidR="00D5540A" w:rsidRDefault="007246EE" w:rsidP="00E96AE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EC44D1" wp14:editId="45F0E3D8">
          <wp:simplePos x="0" y="0"/>
          <wp:positionH relativeFrom="column">
            <wp:posOffset>4447540</wp:posOffset>
          </wp:positionH>
          <wp:positionV relativeFrom="paragraph">
            <wp:posOffset>-66675</wp:posOffset>
          </wp:positionV>
          <wp:extent cx="1749425" cy="676275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2" name="Picture 1" descr="Logo for Alistair McNaught. Training, consultancy, authoring and anything interesting or empowering for peop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Alistair McNaught. Training, consultancy, authoring and anything interesting or empowering for peop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0EA228" wp14:editId="1DBBD037">
          <wp:extent cx="1619250" cy="552450"/>
          <wp:effectExtent l="0" t="0" r="0" b="0"/>
          <wp:docPr id="1" name="Picture 1" descr="AbilityNe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D2E2B"/>
    <w:multiLevelType w:val="hybridMultilevel"/>
    <w:tmpl w:val="FFFFFFFF"/>
    <w:lvl w:ilvl="0" w:tplc="D300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D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A5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8C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6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A4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60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01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48D1"/>
    <w:multiLevelType w:val="hybridMultilevel"/>
    <w:tmpl w:val="51801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4A4"/>
    <w:multiLevelType w:val="hybridMultilevel"/>
    <w:tmpl w:val="FFFFFFFF"/>
    <w:lvl w:ilvl="0" w:tplc="36ACF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0D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84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C3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A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D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E0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0C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77D3"/>
    <w:multiLevelType w:val="hybridMultilevel"/>
    <w:tmpl w:val="51801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384F"/>
    <w:multiLevelType w:val="hybridMultilevel"/>
    <w:tmpl w:val="FFFFFFFF"/>
    <w:lvl w:ilvl="0" w:tplc="BC52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0F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47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C7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5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8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89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EE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8C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5F5DC0-E481-4EF3-8A3D-B6EC58D41EAA}"/>
    <w:docVar w:name="dgnword-eventsink" w:val="2529303565536"/>
  </w:docVars>
  <w:rsids>
    <w:rsidRoot w:val="00146CAE"/>
    <w:rsid w:val="00007AA5"/>
    <w:rsid w:val="00010D03"/>
    <w:rsid w:val="00017ABA"/>
    <w:rsid w:val="0002645E"/>
    <w:rsid w:val="00035F5C"/>
    <w:rsid w:val="0004157E"/>
    <w:rsid w:val="00044C4F"/>
    <w:rsid w:val="000755A6"/>
    <w:rsid w:val="00084069"/>
    <w:rsid w:val="000A0DD9"/>
    <w:rsid w:val="000A5299"/>
    <w:rsid w:val="000A5C1C"/>
    <w:rsid w:val="000B5BB9"/>
    <w:rsid w:val="000B6C24"/>
    <w:rsid w:val="000C7FAB"/>
    <w:rsid w:val="000F2AF2"/>
    <w:rsid w:val="000F450C"/>
    <w:rsid w:val="00102C8E"/>
    <w:rsid w:val="00133908"/>
    <w:rsid w:val="00135CA7"/>
    <w:rsid w:val="00136692"/>
    <w:rsid w:val="00146CAE"/>
    <w:rsid w:val="001504C7"/>
    <w:rsid w:val="00155378"/>
    <w:rsid w:val="00166C58"/>
    <w:rsid w:val="00172CE5"/>
    <w:rsid w:val="0018256B"/>
    <w:rsid w:val="00183150"/>
    <w:rsid w:val="00190EBF"/>
    <w:rsid w:val="00195056"/>
    <w:rsid w:val="001A0026"/>
    <w:rsid w:val="001D0AE1"/>
    <w:rsid w:val="001D1926"/>
    <w:rsid w:val="001D55AD"/>
    <w:rsid w:val="001E39B3"/>
    <w:rsid w:val="001E700B"/>
    <w:rsid w:val="00210B87"/>
    <w:rsid w:val="002148C4"/>
    <w:rsid w:val="002174BC"/>
    <w:rsid w:val="00224C18"/>
    <w:rsid w:val="0023230F"/>
    <w:rsid w:val="00267683"/>
    <w:rsid w:val="00274FF7"/>
    <w:rsid w:val="00281B1D"/>
    <w:rsid w:val="00291C4C"/>
    <w:rsid w:val="002B0E27"/>
    <w:rsid w:val="002B5F21"/>
    <w:rsid w:val="002C1161"/>
    <w:rsid w:val="002D095F"/>
    <w:rsid w:val="002F6093"/>
    <w:rsid w:val="003031A2"/>
    <w:rsid w:val="00320F9F"/>
    <w:rsid w:val="0032524C"/>
    <w:rsid w:val="00347B78"/>
    <w:rsid w:val="00373A2E"/>
    <w:rsid w:val="003C14F1"/>
    <w:rsid w:val="003C4DD4"/>
    <w:rsid w:val="003D24F3"/>
    <w:rsid w:val="003D3C79"/>
    <w:rsid w:val="003D65FE"/>
    <w:rsid w:val="00401C61"/>
    <w:rsid w:val="004154B1"/>
    <w:rsid w:val="004528D6"/>
    <w:rsid w:val="00454FD6"/>
    <w:rsid w:val="00485C48"/>
    <w:rsid w:val="00495DCB"/>
    <w:rsid w:val="004C166A"/>
    <w:rsid w:val="004C1E5F"/>
    <w:rsid w:val="004E2255"/>
    <w:rsid w:val="0050490B"/>
    <w:rsid w:val="00515F3A"/>
    <w:rsid w:val="00522084"/>
    <w:rsid w:val="00552F7F"/>
    <w:rsid w:val="00556E5B"/>
    <w:rsid w:val="00560896"/>
    <w:rsid w:val="00560AC6"/>
    <w:rsid w:val="0056679F"/>
    <w:rsid w:val="0057253A"/>
    <w:rsid w:val="005824AC"/>
    <w:rsid w:val="00590B76"/>
    <w:rsid w:val="00590EF1"/>
    <w:rsid w:val="005A3410"/>
    <w:rsid w:val="005A4CFE"/>
    <w:rsid w:val="005B18FA"/>
    <w:rsid w:val="005B4847"/>
    <w:rsid w:val="005C3B3B"/>
    <w:rsid w:val="005D58D4"/>
    <w:rsid w:val="005E5727"/>
    <w:rsid w:val="005F15A1"/>
    <w:rsid w:val="005F7F8D"/>
    <w:rsid w:val="006165B2"/>
    <w:rsid w:val="00620237"/>
    <w:rsid w:val="006214C5"/>
    <w:rsid w:val="00633C09"/>
    <w:rsid w:val="00636339"/>
    <w:rsid w:val="0064008D"/>
    <w:rsid w:val="00651B9B"/>
    <w:rsid w:val="00660BB6"/>
    <w:rsid w:val="00661EEA"/>
    <w:rsid w:val="006725F4"/>
    <w:rsid w:val="00677451"/>
    <w:rsid w:val="00696B8C"/>
    <w:rsid w:val="006B0DD8"/>
    <w:rsid w:val="006B2472"/>
    <w:rsid w:val="006C700C"/>
    <w:rsid w:val="006D563A"/>
    <w:rsid w:val="00707978"/>
    <w:rsid w:val="0071297E"/>
    <w:rsid w:val="00714403"/>
    <w:rsid w:val="00714A2B"/>
    <w:rsid w:val="007246EE"/>
    <w:rsid w:val="00725A16"/>
    <w:rsid w:val="0073051C"/>
    <w:rsid w:val="00746960"/>
    <w:rsid w:val="00761CDD"/>
    <w:rsid w:val="00763A6A"/>
    <w:rsid w:val="00772A8A"/>
    <w:rsid w:val="00773048"/>
    <w:rsid w:val="007746F0"/>
    <w:rsid w:val="00776AD6"/>
    <w:rsid w:val="00780B08"/>
    <w:rsid w:val="00782E28"/>
    <w:rsid w:val="00791F5E"/>
    <w:rsid w:val="007A1809"/>
    <w:rsid w:val="007C59A3"/>
    <w:rsid w:val="007D1880"/>
    <w:rsid w:val="007E6C09"/>
    <w:rsid w:val="007F358B"/>
    <w:rsid w:val="007F5F56"/>
    <w:rsid w:val="008047C7"/>
    <w:rsid w:val="008072D5"/>
    <w:rsid w:val="008265B6"/>
    <w:rsid w:val="008328C8"/>
    <w:rsid w:val="00860280"/>
    <w:rsid w:val="008666E3"/>
    <w:rsid w:val="00881046"/>
    <w:rsid w:val="00895E42"/>
    <w:rsid w:val="008B5358"/>
    <w:rsid w:val="008C06C2"/>
    <w:rsid w:val="008C7DDA"/>
    <w:rsid w:val="00900025"/>
    <w:rsid w:val="00907C3A"/>
    <w:rsid w:val="0092436D"/>
    <w:rsid w:val="00924BF9"/>
    <w:rsid w:val="00935606"/>
    <w:rsid w:val="009379F0"/>
    <w:rsid w:val="00953EC5"/>
    <w:rsid w:val="0095792F"/>
    <w:rsid w:val="00962AE8"/>
    <w:rsid w:val="00972D2D"/>
    <w:rsid w:val="00977560"/>
    <w:rsid w:val="00982338"/>
    <w:rsid w:val="009A7F0E"/>
    <w:rsid w:val="009C4153"/>
    <w:rsid w:val="009D2049"/>
    <w:rsid w:val="009D21D0"/>
    <w:rsid w:val="009E42BC"/>
    <w:rsid w:val="009F0A3D"/>
    <w:rsid w:val="00A05B83"/>
    <w:rsid w:val="00A05CB3"/>
    <w:rsid w:val="00A11AA1"/>
    <w:rsid w:val="00A15A0C"/>
    <w:rsid w:val="00A273C9"/>
    <w:rsid w:val="00A32BFA"/>
    <w:rsid w:val="00A37730"/>
    <w:rsid w:val="00A43D60"/>
    <w:rsid w:val="00A446CE"/>
    <w:rsid w:val="00A50FAF"/>
    <w:rsid w:val="00A66826"/>
    <w:rsid w:val="00A709D6"/>
    <w:rsid w:val="00A75442"/>
    <w:rsid w:val="00A81BFA"/>
    <w:rsid w:val="00AA315B"/>
    <w:rsid w:val="00AE3AFD"/>
    <w:rsid w:val="00AF354A"/>
    <w:rsid w:val="00B02BE2"/>
    <w:rsid w:val="00B100BF"/>
    <w:rsid w:val="00B13AC7"/>
    <w:rsid w:val="00B230A2"/>
    <w:rsid w:val="00B34837"/>
    <w:rsid w:val="00B71E41"/>
    <w:rsid w:val="00B82239"/>
    <w:rsid w:val="00B8753E"/>
    <w:rsid w:val="00BA1225"/>
    <w:rsid w:val="00BB3CC4"/>
    <w:rsid w:val="00BB6F15"/>
    <w:rsid w:val="00BF4577"/>
    <w:rsid w:val="00BF4DBF"/>
    <w:rsid w:val="00BF5115"/>
    <w:rsid w:val="00C14126"/>
    <w:rsid w:val="00C160FE"/>
    <w:rsid w:val="00C2780A"/>
    <w:rsid w:val="00C3330E"/>
    <w:rsid w:val="00C401AB"/>
    <w:rsid w:val="00C44A64"/>
    <w:rsid w:val="00C47655"/>
    <w:rsid w:val="00C479C1"/>
    <w:rsid w:val="00C9384B"/>
    <w:rsid w:val="00CA5332"/>
    <w:rsid w:val="00CA7AEB"/>
    <w:rsid w:val="00CB77D8"/>
    <w:rsid w:val="00CC10EF"/>
    <w:rsid w:val="00CD1A8A"/>
    <w:rsid w:val="00CD7F11"/>
    <w:rsid w:val="00CE7BD6"/>
    <w:rsid w:val="00CF1DEF"/>
    <w:rsid w:val="00D00118"/>
    <w:rsid w:val="00D12345"/>
    <w:rsid w:val="00D20B63"/>
    <w:rsid w:val="00D3607B"/>
    <w:rsid w:val="00D4D662"/>
    <w:rsid w:val="00D5012E"/>
    <w:rsid w:val="00D51946"/>
    <w:rsid w:val="00D5540A"/>
    <w:rsid w:val="00D71DEF"/>
    <w:rsid w:val="00D766CC"/>
    <w:rsid w:val="00D77A94"/>
    <w:rsid w:val="00D84D4B"/>
    <w:rsid w:val="00D9257E"/>
    <w:rsid w:val="00D92C56"/>
    <w:rsid w:val="00DA5470"/>
    <w:rsid w:val="00DA564F"/>
    <w:rsid w:val="00DA70E5"/>
    <w:rsid w:val="00DB6075"/>
    <w:rsid w:val="00DD5D07"/>
    <w:rsid w:val="00DE102A"/>
    <w:rsid w:val="00DE45AE"/>
    <w:rsid w:val="00DF396B"/>
    <w:rsid w:val="00DF4FDA"/>
    <w:rsid w:val="00E055CA"/>
    <w:rsid w:val="00E0787B"/>
    <w:rsid w:val="00E12212"/>
    <w:rsid w:val="00E313C8"/>
    <w:rsid w:val="00E34A4A"/>
    <w:rsid w:val="00E631E4"/>
    <w:rsid w:val="00E63574"/>
    <w:rsid w:val="00E6709D"/>
    <w:rsid w:val="00E736EB"/>
    <w:rsid w:val="00E8010E"/>
    <w:rsid w:val="00E850E6"/>
    <w:rsid w:val="00E95F5C"/>
    <w:rsid w:val="00E96AEE"/>
    <w:rsid w:val="00EB0755"/>
    <w:rsid w:val="00EB7530"/>
    <w:rsid w:val="00ED1FB9"/>
    <w:rsid w:val="00ED4CDA"/>
    <w:rsid w:val="00EE17C4"/>
    <w:rsid w:val="00F26640"/>
    <w:rsid w:val="00F27BA1"/>
    <w:rsid w:val="00F31958"/>
    <w:rsid w:val="00F37F63"/>
    <w:rsid w:val="00F40018"/>
    <w:rsid w:val="00F40101"/>
    <w:rsid w:val="00F47FEE"/>
    <w:rsid w:val="00F60969"/>
    <w:rsid w:val="00F61D9D"/>
    <w:rsid w:val="00F7124F"/>
    <w:rsid w:val="00F837AB"/>
    <w:rsid w:val="00F942B9"/>
    <w:rsid w:val="00FB5926"/>
    <w:rsid w:val="00FB7EE6"/>
    <w:rsid w:val="00FC3AB2"/>
    <w:rsid w:val="00FE7A60"/>
    <w:rsid w:val="00FF3CFE"/>
    <w:rsid w:val="012D5AB4"/>
    <w:rsid w:val="013A0DC9"/>
    <w:rsid w:val="01B20551"/>
    <w:rsid w:val="01E2DB66"/>
    <w:rsid w:val="01E4F4D7"/>
    <w:rsid w:val="022C5170"/>
    <w:rsid w:val="02675499"/>
    <w:rsid w:val="02848341"/>
    <w:rsid w:val="02DD47BA"/>
    <w:rsid w:val="030D44A6"/>
    <w:rsid w:val="031F2EC6"/>
    <w:rsid w:val="03DFC352"/>
    <w:rsid w:val="03E3F281"/>
    <w:rsid w:val="041A450D"/>
    <w:rsid w:val="0452F8F7"/>
    <w:rsid w:val="04991221"/>
    <w:rsid w:val="05500F74"/>
    <w:rsid w:val="059167BB"/>
    <w:rsid w:val="06B57749"/>
    <w:rsid w:val="07351680"/>
    <w:rsid w:val="078360C6"/>
    <w:rsid w:val="07AAEC16"/>
    <w:rsid w:val="07DF3D26"/>
    <w:rsid w:val="08179AD8"/>
    <w:rsid w:val="086BD74B"/>
    <w:rsid w:val="09E1BCAB"/>
    <w:rsid w:val="0A7476E9"/>
    <w:rsid w:val="0B4E360F"/>
    <w:rsid w:val="0B54C98F"/>
    <w:rsid w:val="0B9B2BC4"/>
    <w:rsid w:val="0BE184C8"/>
    <w:rsid w:val="0CA71511"/>
    <w:rsid w:val="0D218DE1"/>
    <w:rsid w:val="0D77C434"/>
    <w:rsid w:val="0DDC366B"/>
    <w:rsid w:val="0FEDFACA"/>
    <w:rsid w:val="10565C6E"/>
    <w:rsid w:val="107CD1C4"/>
    <w:rsid w:val="10D581A3"/>
    <w:rsid w:val="10F7B05C"/>
    <w:rsid w:val="112F302D"/>
    <w:rsid w:val="114AC9DB"/>
    <w:rsid w:val="11734E7A"/>
    <w:rsid w:val="11C7FDFF"/>
    <w:rsid w:val="11D8E44C"/>
    <w:rsid w:val="1221EC69"/>
    <w:rsid w:val="1265B1C7"/>
    <w:rsid w:val="12AE7C05"/>
    <w:rsid w:val="12B7E3A4"/>
    <w:rsid w:val="1445E035"/>
    <w:rsid w:val="14D73CD6"/>
    <w:rsid w:val="15748E3A"/>
    <w:rsid w:val="157B01A2"/>
    <w:rsid w:val="15F01BDE"/>
    <w:rsid w:val="1623225D"/>
    <w:rsid w:val="164C1DAB"/>
    <w:rsid w:val="166F3430"/>
    <w:rsid w:val="1711FFDA"/>
    <w:rsid w:val="1718D928"/>
    <w:rsid w:val="176F34B9"/>
    <w:rsid w:val="17D56D20"/>
    <w:rsid w:val="18D9378E"/>
    <w:rsid w:val="1944978A"/>
    <w:rsid w:val="195B850F"/>
    <w:rsid w:val="1974520B"/>
    <w:rsid w:val="19DFCBD8"/>
    <w:rsid w:val="19EB9D03"/>
    <w:rsid w:val="1A8A4302"/>
    <w:rsid w:val="1AFC5677"/>
    <w:rsid w:val="1B3B8F68"/>
    <w:rsid w:val="1B549203"/>
    <w:rsid w:val="1B5EE07E"/>
    <w:rsid w:val="1B7EBD7D"/>
    <w:rsid w:val="1BFC07F9"/>
    <w:rsid w:val="1C08ED51"/>
    <w:rsid w:val="1C5AEA9E"/>
    <w:rsid w:val="1CC6D8B3"/>
    <w:rsid w:val="1CD92A91"/>
    <w:rsid w:val="1D087441"/>
    <w:rsid w:val="1DAF6F55"/>
    <w:rsid w:val="1DB98276"/>
    <w:rsid w:val="1E4ACAEB"/>
    <w:rsid w:val="1E5715E7"/>
    <w:rsid w:val="1E798183"/>
    <w:rsid w:val="1F4649F6"/>
    <w:rsid w:val="1FAD52F8"/>
    <w:rsid w:val="204F50EF"/>
    <w:rsid w:val="208ACD6E"/>
    <w:rsid w:val="20901163"/>
    <w:rsid w:val="20B39CBA"/>
    <w:rsid w:val="2114B1D3"/>
    <w:rsid w:val="2120576C"/>
    <w:rsid w:val="21DCFAE9"/>
    <w:rsid w:val="22108A92"/>
    <w:rsid w:val="228EF2BE"/>
    <w:rsid w:val="22E4F8A3"/>
    <w:rsid w:val="234D2F70"/>
    <w:rsid w:val="24CA7626"/>
    <w:rsid w:val="24F82FD6"/>
    <w:rsid w:val="25C18191"/>
    <w:rsid w:val="25D96DEE"/>
    <w:rsid w:val="263F8A6B"/>
    <w:rsid w:val="2662067F"/>
    <w:rsid w:val="2701DFD2"/>
    <w:rsid w:val="27483D4F"/>
    <w:rsid w:val="27AE128F"/>
    <w:rsid w:val="28948B4F"/>
    <w:rsid w:val="289EE1EE"/>
    <w:rsid w:val="28A5476B"/>
    <w:rsid w:val="28C21BC1"/>
    <w:rsid w:val="29B42E77"/>
    <w:rsid w:val="29C01368"/>
    <w:rsid w:val="29EF487B"/>
    <w:rsid w:val="2A86F7C0"/>
    <w:rsid w:val="2B335772"/>
    <w:rsid w:val="2B9114BF"/>
    <w:rsid w:val="2CA882BC"/>
    <w:rsid w:val="2DC59F8F"/>
    <w:rsid w:val="2DF38655"/>
    <w:rsid w:val="2E2B1226"/>
    <w:rsid w:val="2EC4C96F"/>
    <w:rsid w:val="2EE621BC"/>
    <w:rsid w:val="2EFED27B"/>
    <w:rsid w:val="2FB36715"/>
    <w:rsid w:val="30CF96E4"/>
    <w:rsid w:val="31BFEB45"/>
    <w:rsid w:val="31DBB308"/>
    <w:rsid w:val="3281A0C4"/>
    <w:rsid w:val="3291DEB7"/>
    <w:rsid w:val="32BA7F49"/>
    <w:rsid w:val="337BE9FB"/>
    <w:rsid w:val="33C2EFF2"/>
    <w:rsid w:val="34B65728"/>
    <w:rsid w:val="34F3C6E6"/>
    <w:rsid w:val="3501EBEA"/>
    <w:rsid w:val="351C12D8"/>
    <w:rsid w:val="3542224C"/>
    <w:rsid w:val="35544F5A"/>
    <w:rsid w:val="35671B5B"/>
    <w:rsid w:val="357CD3DF"/>
    <w:rsid w:val="3617F475"/>
    <w:rsid w:val="36A58384"/>
    <w:rsid w:val="36E9891B"/>
    <w:rsid w:val="374F3A01"/>
    <w:rsid w:val="379F7CBF"/>
    <w:rsid w:val="37AAF8CB"/>
    <w:rsid w:val="38A32DE4"/>
    <w:rsid w:val="39990DDD"/>
    <w:rsid w:val="39F6207C"/>
    <w:rsid w:val="3B5A0562"/>
    <w:rsid w:val="3B620AFC"/>
    <w:rsid w:val="3B641C1C"/>
    <w:rsid w:val="3BBBFCB7"/>
    <w:rsid w:val="3BF154FC"/>
    <w:rsid w:val="3C37461A"/>
    <w:rsid w:val="3C67F875"/>
    <w:rsid w:val="3C9328A4"/>
    <w:rsid w:val="3D7AC254"/>
    <w:rsid w:val="3E294006"/>
    <w:rsid w:val="3E34C74D"/>
    <w:rsid w:val="3EE75AD0"/>
    <w:rsid w:val="3F4B8F2C"/>
    <w:rsid w:val="3FAE196A"/>
    <w:rsid w:val="3FF06D69"/>
    <w:rsid w:val="4083E002"/>
    <w:rsid w:val="408787CA"/>
    <w:rsid w:val="40DB2C2A"/>
    <w:rsid w:val="41C24482"/>
    <w:rsid w:val="421F9EC7"/>
    <w:rsid w:val="429A9A1D"/>
    <w:rsid w:val="43AA2B5F"/>
    <w:rsid w:val="43C84F3E"/>
    <w:rsid w:val="441D6E1B"/>
    <w:rsid w:val="442D83D6"/>
    <w:rsid w:val="446412BF"/>
    <w:rsid w:val="44A3821C"/>
    <w:rsid w:val="45D9973A"/>
    <w:rsid w:val="460F6875"/>
    <w:rsid w:val="465661E6"/>
    <w:rsid w:val="46EFD2D4"/>
    <w:rsid w:val="471C4726"/>
    <w:rsid w:val="472F089E"/>
    <w:rsid w:val="47AA6801"/>
    <w:rsid w:val="47AE0E52"/>
    <w:rsid w:val="4944A647"/>
    <w:rsid w:val="496E1784"/>
    <w:rsid w:val="49ACB229"/>
    <w:rsid w:val="4A709E78"/>
    <w:rsid w:val="4AE5A21E"/>
    <w:rsid w:val="4AF22CD7"/>
    <w:rsid w:val="4B148878"/>
    <w:rsid w:val="4CB61348"/>
    <w:rsid w:val="4D9DE4DC"/>
    <w:rsid w:val="4F52ACC0"/>
    <w:rsid w:val="4FB1B7D3"/>
    <w:rsid w:val="4FF15C85"/>
    <w:rsid w:val="50124665"/>
    <w:rsid w:val="50D8DB24"/>
    <w:rsid w:val="515A1F24"/>
    <w:rsid w:val="51774FD2"/>
    <w:rsid w:val="51C34FCB"/>
    <w:rsid w:val="5205F618"/>
    <w:rsid w:val="524DC637"/>
    <w:rsid w:val="5257F95A"/>
    <w:rsid w:val="5281BDA0"/>
    <w:rsid w:val="52D24BF3"/>
    <w:rsid w:val="531597FC"/>
    <w:rsid w:val="53CA5D21"/>
    <w:rsid w:val="53CECB29"/>
    <w:rsid w:val="5422413A"/>
    <w:rsid w:val="548F465B"/>
    <w:rsid w:val="55770AF6"/>
    <w:rsid w:val="582D7B5B"/>
    <w:rsid w:val="58E46160"/>
    <w:rsid w:val="58FE4D2F"/>
    <w:rsid w:val="59890E40"/>
    <w:rsid w:val="5A491627"/>
    <w:rsid w:val="5A4CC298"/>
    <w:rsid w:val="5AC35393"/>
    <w:rsid w:val="5AD2366B"/>
    <w:rsid w:val="5AD66BB5"/>
    <w:rsid w:val="5B2D3991"/>
    <w:rsid w:val="5B40457E"/>
    <w:rsid w:val="5BB0E944"/>
    <w:rsid w:val="5BF6CF5B"/>
    <w:rsid w:val="5C13AF9E"/>
    <w:rsid w:val="5CEF416D"/>
    <w:rsid w:val="5D813010"/>
    <w:rsid w:val="5D94FE0A"/>
    <w:rsid w:val="5FD43272"/>
    <w:rsid w:val="60188477"/>
    <w:rsid w:val="606A1892"/>
    <w:rsid w:val="6126EBA7"/>
    <w:rsid w:val="61A8D4B2"/>
    <w:rsid w:val="63C3E2E4"/>
    <w:rsid w:val="63D26E0B"/>
    <w:rsid w:val="63F70DBC"/>
    <w:rsid w:val="64BDF75A"/>
    <w:rsid w:val="64BEBFDF"/>
    <w:rsid w:val="64E13857"/>
    <w:rsid w:val="6512F656"/>
    <w:rsid w:val="65152AF1"/>
    <w:rsid w:val="658344DF"/>
    <w:rsid w:val="65C43D93"/>
    <w:rsid w:val="672A4ED4"/>
    <w:rsid w:val="673AFEB9"/>
    <w:rsid w:val="681DDDFD"/>
    <w:rsid w:val="699B5EE7"/>
    <w:rsid w:val="69C2403F"/>
    <w:rsid w:val="6A612BB6"/>
    <w:rsid w:val="6A927622"/>
    <w:rsid w:val="6B05D868"/>
    <w:rsid w:val="6B4A0C84"/>
    <w:rsid w:val="6B5589A0"/>
    <w:rsid w:val="6B67E6B4"/>
    <w:rsid w:val="6BC10ABC"/>
    <w:rsid w:val="6BCB7618"/>
    <w:rsid w:val="6C4C9CD7"/>
    <w:rsid w:val="6C7FC45E"/>
    <w:rsid w:val="6D95BD38"/>
    <w:rsid w:val="6DE53564"/>
    <w:rsid w:val="6E5FCE1E"/>
    <w:rsid w:val="6EA49CFA"/>
    <w:rsid w:val="6EF8B103"/>
    <w:rsid w:val="6F850F93"/>
    <w:rsid w:val="70192FB0"/>
    <w:rsid w:val="72E76357"/>
    <w:rsid w:val="72EDC011"/>
    <w:rsid w:val="748648F1"/>
    <w:rsid w:val="74CAFBE3"/>
    <w:rsid w:val="7708FBB1"/>
    <w:rsid w:val="773452A9"/>
    <w:rsid w:val="77B6E725"/>
    <w:rsid w:val="7882D575"/>
    <w:rsid w:val="79243459"/>
    <w:rsid w:val="799A3741"/>
    <w:rsid w:val="79B592A1"/>
    <w:rsid w:val="7A022273"/>
    <w:rsid w:val="7A38A98F"/>
    <w:rsid w:val="7A8D8C6B"/>
    <w:rsid w:val="7AB743BB"/>
    <w:rsid w:val="7C934555"/>
    <w:rsid w:val="7CB26109"/>
    <w:rsid w:val="7CCF73FE"/>
    <w:rsid w:val="7E5FBE6A"/>
    <w:rsid w:val="7F68B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3B393"/>
  <w15:chartTrackingRefBased/>
  <w15:docId w15:val="{1A1A519E-B540-49E2-A7F0-BF2A95E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0E"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BB6F15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B7EE6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6B0DD8"/>
    <w:pPr>
      <w:keepNext/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E17C4"/>
    <w:pPr>
      <w:keepNext/>
      <w:spacing w:before="60" w:after="80"/>
      <w:outlineLvl w:val="3"/>
    </w:pPr>
    <w:rPr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E6709D"/>
    <w:pPr>
      <w:spacing w:before="12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3A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3A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A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3A6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B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7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C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66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6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6C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6B0DD8"/>
    <w:rPr>
      <w:rFonts w:ascii="Arial" w:hAnsi="Arial" w:cs="Arial"/>
      <w:b/>
      <w:bCs/>
      <w:sz w:val="24"/>
      <w:szCs w:val="26"/>
    </w:rPr>
  </w:style>
  <w:style w:type="character" w:customStyle="1" w:styleId="Heading2Char">
    <w:name w:val="Heading 2 Char"/>
    <w:link w:val="Heading2"/>
    <w:rsid w:val="001504C7"/>
    <w:rPr>
      <w:rFonts w:ascii="Arial" w:hAnsi="Arial" w:cs="Arial"/>
      <w:b/>
      <w:bCs/>
      <w:iCs/>
      <w:sz w:val="28"/>
      <w:szCs w:val="28"/>
    </w:rPr>
  </w:style>
  <w:style w:type="character" w:customStyle="1" w:styleId="Heading4Char">
    <w:name w:val="Heading 4 Char"/>
    <w:link w:val="Heading4"/>
    <w:rsid w:val="00EE17C4"/>
    <w:rPr>
      <w:rFonts w:ascii="Arial" w:hAnsi="Arial"/>
      <w:bCs/>
      <w:sz w:val="22"/>
      <w:szCs w:val="2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ilitynet.org.uk/sign-up-for-our-newsletter" TargetMode="External"/><Relationship Id="rId18" Type="http://schemas.openxmlformats.org/officeDocument/2006/relationships/hyperlink" Target="https://wave.webaim.org/" TargetMode="External"/><Relationship Id="rId26" Type="http://schemas.openxmlformats.org/officeDocument/2006/relationships/hyperlink" Target="https://abilitynet.org.uk/accessibility-services/speak-to-our-expert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bilitynet.org.uk/accessibility-services" TargetMode="External"/><Relationship Id="rId34" Type="http://schemas.openxmlformats.org/officeDocument/2006/relationships/hyperlink" Target="https://abilitynet.org.uk/accessibility-services/meet-our-cli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llie.Mote@jisc.ac.uk?subject=Joining%20the%20Accessibility%20Teams%20site" TargetMode="External"/><Relationship Id="rId17" Type="http://schemas.openxmlformats.org/officeDocument/2006/relationships/hyperlink" Target="https://www.learningapps.co.uk/moodle/xertetoolkits/play.php?template_id=2196" TargetMode="External"/><Relationship Id="rId25" Type="http://schemas.openxmlformats.org/officeDocument/2006/relationships/hyperlink" Target="https://www.learningapps.co.uk/moodle/xertetoolkits/play.php?template_id=2196" TargetMode="External"/><Relationship Id="rId33" Type="http://schemas.openxmlformats.org/officeDocument/2006/relationships/hyperlink" Target="https://mcmw.abilitynet.org.uk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bilitynet.org.uk/accessibility-services/digital-accessibility-he-and-fe" TargetMode="External"/><Relationship Id="rId20" Type="http://schemas.openxmlformats.org/officeDocument/2006/relationships/hyperlink" Target="https://abilitynet.org.uk/accessibility-services/digital-accessibility-he-and-fe" TargetMode="External"/><Relationship Id="rId29" Type="http://schemas.openxmlformats.org/officeDocument/2006/relationships/hyperlink" Target="https://abilitynet.org.uk/free-resources/abilitynet-factshee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dis.org.uk/digital-accessibility/" TargetMode="External"/><Relationship Id="rId24" Type="http://schemas.openxmlformats.org/officeDocument/2006/relationships/hyperlink" Target="https://enhance.etfoundation.co.uk/category/difference-diversity" TargetMode="External"/><Relationship Id="rId32" Type="http://schemas.openxmlformats.org/officeDocument/2006/relationships/hyperlink" Target="https://abilitynet.org.uk/HE-services/my-study-my-way" TargetMode="Externa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abilitynet.org.uk/accessibility-services/he-and-fe-accessibility-maturity-model" TargetMode="External"/><Relationship Id="rId23" Type="http://schemas.openxmlformats.org/officeDocument/2006/relationships/hyperlink" Target="https://enhance.etfoundation.co.uk/category/accessibility" TargetMode="External"/><Relationship Id="rId28" Type="http://schemas.openxmlformats.org/officeDocument/2006/relationships/hyperlink" Target="https://mcmw.abilitynet.org.uk/" TargetMode="External"/><Relationship Id="rId36" Type="http://schemas.openxmlformats.org/officeDocument/2006/relationships/hyperlink" Target="mailto:enquiries@abilitynet.org.uk" TargetMode="External"/><Relationship Id="rId10" Type="http://schemas.openxmlformats.org/officeDocument/2006/relationships/hyperlink" Target="https://www.jiscmail.ac.uk/cgi-bin/webadmin?A0=DIGITALACCESSIBILITYREGULATIONS" TargetMode="External"/><Relationship Id="rId19" Type="http://schemas.openxmlformats.org/officeDocument/2006/relationships/hyperlink" Target="https://accessibilityinsights.io/" TargetMode="External"/><Relationship Id="rId31" Type="http://schemas.openxmlformats.org/officeDocument/2006/relationships/hyperlink" Target="https://www.kent.ac.uk/t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bilitynet.org.uk/accessibility-services/products-and-services" TargetMode="External"/><Relationship Id="rId22" Type="http://schemas.openxmlformats.org/officeDocument/2006/relationships/hyperlink" Target="https://xot.futureteacher.eu/play.php?template_id=4" TargetMode="External"/><Relationship Id="rId27" Type="http://schemas.openxmlformats.org/officeDocument/2006/relationships/hyperlink" Target="https://mystudymyway.com/" TargetMode="External"/><Relationship Id="rId30" Type="http://schemas.openxmlformats.org/officeDocument/2006/relationships/hyperlink" Target="https://www.lexdis.org.uk/strategies/" TargetMode="External"/><Relationship Id="rId35" Type="http://schemas.openxmlformats.org/officeDocument/2006/relationships/hyperlink" Target="https://abilitynet.org.uk/accessibility-services/he-and-fe-accessibility-maturity-mode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EC759F77C1E4FABDE6E8EE9ACACB8" ma:contentTypeVersion="13" ma:contentTypeDescription="Create a new document." ma:contentTypeScope="" ma:versionID="08276fec15396c1939f4386ae3c4ba84">
  <xsd:schema xmlns:xsd="http://www.w3.org/2001/XMLSchema" xmlns:xs="http://www.w3.org/2001/XMLSchema" xmlns:p="http://schemas.microsoft.com/office/2006/metadata/properties" xmlns:ns3="64c8b399-f592-4d96-9a70-676d5ac11a7d" xmlns:ns4="ffcb3613-2304-4a38-beda-08577f619dd9" targetNamespace="http://schemas.microsoft.com/office/2006/metadata/properties" ma:root="true" ma:fieldsID="68fe5cf09c5c46a804a0d44bdacefc05" ns3:_="" ns4:_="">
    <xsd:import namespace="64c8b399-f592-4d96-9a70-676d5ac11a7d"/>
    <xsd:import namespace="ffcb3613-2304-4a38-beda-08577f619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b399-f592-4d96-9a70-676d5ac11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3613-2304-4a38-beda-08577f61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8C65A-6CFF-4C19-BCC0-70D273AD1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7188C-FCE7-4213-8F4B-B194F9B4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b399-f592-4d96-9a70-676d5ac11a7d"/>
    <ds:schemaRef ds:uri="ffcb3613-2304-4a38-beda-08577f61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444B6-0B5D-4D25-8899-99F49E57F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1655</Words>
  <Characters>9439</Characters>
  <Application>Microsoft Office Word</Application>
  <DocSecurity>0</DocSecurity>
  <Lines>78</Lines>
  <Paragraphs>22</Paragraphs>
  <ScaleCrop>false</ScaleCrop>
  <Company>Higher Education Academy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AlistairM</dc:creator>
  <cp:keywords/>
  <dc:description/>
  <cp:lastModifiedBy>Abi James</cp:lastModifiedBy>
  <cp:revision>7</cp:revision>
  <dcterms:created xsi:type="dcterms:W3CDTF">2020-05-04T14:24:00Z</dcterms:created>
  <dcterms:modified xsi:type="dcterms:W3CDTF">2020-05-27T14:58:00Z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0x010100728EC759F77C1E4FABDE6E8EE9ACACB8</vt:lpwstr>
  </property>
</Properties>
</file>